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numPr>
          <w:ilvl w:val="0"/>
          <w:numId w:val="1"/>
        </w:numPr>
        <w:spacing w:before="0" w:after="0" w:line="460" w:lineRule="exact"/>
        <w:jc w:val="center"/>
        <w:outlineLvl w:val="1"/>
        <w:rPr>
          <w:rFonts w:ascii="华文中宋" w:hAnsi="华文中宋" w:eastAsia="华文中宋" w:cs="华文中宋"/>
          <w:b/>
          <w:bCs/>
          <w:kern w:val="2"/>
          <w:sz w:val="28"/>
          <w:szCs w:val="28"/>
          <w:highlight w:val="white"/>
          <w:lang w:val="en-US" w:eastAsia="zh-CN" w:bidi="ar-SA"/>
        </w:rPr>
      </w:pPr>
      <w:bookmarkStart w:id="0" w:name="_Toc376848274"/>
      <w:bookmarkStart w:id="1" w:name="_Toc293934837"/>
      <w:bookmarkStart w:id="2" w:name="_Toc97485482"/>
      <w:bookmarkStart w:id="3" w:name="_Toc15920"/>
      <w:bookmarkStart w:id="4" w:name="_Toc126581036"/>
      <w:bookmarkStart w:id="5" w:name="_Toc167439814"/>
      <w:r>
        <w:rPr>
          <w:rFonts w:hint="eastAsia" w:ascii="华文中宋" w:hAnsi="华文中宋" w:eastAsia="华文中宋" w:cs="华文中宋"/>
          <w:b/>
          <w:bCs/>
          <w:kern w:val="2"/>
          <w:sz w:val="28"/>
          <w:szCs w:val="28"/>
          <w:highlight w:val="white"/>
          <w:lang w:val="en-US" w:eastAsia="zh-CN" w:bidi="ar-SA"/>
        </w:rPr>
        <w:t>采购</w:t>
      </w:r>
      <w:bookmarkEnd w:id="0"/>
      <w:bookmarkEnd w:id="1"/>
      <w:bookmarkEnd w:id="2"/>
      <w:r>
        <w:rPr>
          <w:rFonts w:hint="eastAsia" w:ascii="华文中宋" w:hAnsi="华文中宋" w:eastAsia="华文中宋" w:cs="华文中宋"/>
          <w:b/>
          <w:bCs/>
          <w:kern w:val="2"/>
          <w:sz w:val="28"/>
          <w:szCs w:val="28"/>
          <w:highlight w:val="white"/>
          <w:lang w:val="en-US" w:eastAsia="zh-CN" w:bidi="ar-SA"/>
        </w:rPr>
        <w:t>需求</w:t>
      </w:r>
      <w:bookmarkEnd w:id="3"/>
      <w:bookmarkEnd w:id="4"/>
      <w:r>
        <w:rPr>
          <w:rFonts w:hint="eastAsia" w:ascii="华文中宋" w:hAnsi="华文中宋" w:eastAsia="华文中宋" w:cs="华文中宋"/>
          <w:b/>
          <w:bCs/>
          <w:kern w:val="2"/>
          <w:sz w:val="28"/>
          <w:szCs w:val="28"/>
          <w:highlight w:val="white"/>
          <w:lang w:val="en-US" w:eastAsia="zh-CN" w:bidi="ar-SA"/>
        </w:rPr>
        <w:t>一览表</w:t>
      </w:r>
      <w:bookmarkEnd w:id="5"/>
    </w:p>
    <w:tbl>
      <w:tblPr>
        <w:tblStyle w:val="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8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1501" w:type="dxa"/>
            <w:tcBorders>
              <w:top w:val="single" w:color="auto" w:sz="12" w:space="0"/>
              <w:left w:val="single" w:color="auto" w:sz="12" w:space="0"/>
            </w:tcBorders>
            <w:vAlign w:val="center"/>
          </w:tcPr>
          <w:p>
            <w:pPr>
              <w:jc w:val="center"/>
              <w:rPr>
                <w:rFonts w:ascii="华文中宋" w:hAnsi="华文中宋" w:eastAsia="华文中宋" w:cs="黑体"/>
                <w:sz w:val="24"/>
                <w:szCs w:val="24"/>
              </w:rPr>
            </w:pPr>
            <w:r>
              <w:rPr>
                <w:rFonts w:hint="eastAsia" w:ascii="华文中宋" w:hAnsi="华文中宋" w:eastAsia="华文中宋" w:cs="黑体"/>
                <w:sz w:val="24"/>
                <w:szCs w:val="24"/>
              </w:rPr>
              <w:t>项目名称</w:t>
            </w:r>
          </w:p>
        </w:tc>
        <w:tc>
          <w:tcPr>
            <w:tcW w:w="8069" w:type="dxa"/>
            <w:tcBorders>
              <w:top w:val="single" w:color="auto" w:sz="12" w:space="0"/>
              <w:right w:val="single" w:color="auto" w:sz="12" w:space="0"/>
            </w:tcBorders>
            <w:vAlign w:val="center"/>
          </w:tcPr>
          <w:p>
            <w:pPr>
              <w:jc w:val="center"/>
              <w:rPr>
                <w:rFonts w:ascii="华文中宋" w:hAnsi="华文中宋" w:eastAsia="华文中宋" w:cs="黑体"/>
                <w:b/>
                <w:color w:val="000000"/>
                <w:sz w:val="48"/>
                <w:szCs w:val="48"/>
                <w:u w:val="thick" w:color="632423"/>
              </w:rPr>
            </w:pPr>
            <w:r>
              <w:rPr>
                <w:rFonts w:hint="eastAsia" w:ascii="华文中宋" w:hAnsi="华文中宋" w:eastAsia="华文中宋" w:cs="华文中宋"/>
                <w:color w:val="000000"/>
                <w:sz w:val="24"/>
                <w:szCs w:val="24"/>
              </w:rPr>
              <w:t>江西旅游商贸职业学院现教中心网络安全服务采购项目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1501" w:type="dxa"/>
            <w:tcBorders>
              <w:left w:val="single" w:color="auto" w:sz="12" w:space="0"/>
            </w:tcBorders>
            <w:vAlign w:val="center"/>
          </w:tcPr>
          <w:p>
            <w:pPr>
              <w:jc w:val="center"/>
              <w:rPr>
                <w:rFonts w:ascii="华文中宋" w:hAnsi="华文中宋" w:eastAsia="华文中宋" w:cs="黑体"/>
                <w:sz w:val="24"/>
                <w:szCs w:val="24"/>
              </w:rPr>
            </w:pPr>
            <w:r>
              <w:rPr>
                <w:rFonts w:hint="eastAsia" w:ascii="华文中宋" w:hAnsi="华文中宋" w:eastAsia="华文中宋" w:cs="黑体"/>
                <w:sz w:val="24"/>
                <w:szCs w:val="24"/>
              </w:rPr>
              <w:t>数量（单位）</w:t>
            </w:r>
          </w:p>
        </w:tc>
        <w:tc>
          <w:tcPr>
            <w:tcW w:w="8069" w:type="dxa"/>
            <w:tcBorders>
              <w:right w:val="single" w:color="auto" w:sz="12" w:space="0"/>
            </w:tcBorders>
            <w:vAlign w:val="center"/>
          </w:tcPr>
          <w:p>
            <w:pPr>
              <w:jc w:val="center"/>
              <w:rPr>
                <w:rFonts w:ascii="华文中宋" w:hAnsi="华文中宋" w:eastAsia="华文中宋" w:cs="黑体"/>
                <w:sz w:val="24"/>
                <w:szCs w:val="24"/>
              </w:rPr>
            </w:pPr>
            <w:r>
              <w:rPr>
                <w:rFonts w:hint="eastAsia" w:ascii="华文中宋" w:hAnsi="华文中宋" w:eastAsia="华文中宋" w:cs="黑体"/>
                <w:sz w:val="24"/>
                <w:szCs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501" w:type="dxa"/>
            <w:tcBorders>
              <w:left w:val="single" w:color="auto" w:sz="12" w:space="0"/>
            </w:tcBorders>
            <w:vAlign w:val="center"/>
          </w:tcPr>
          <w:p>
            <w:pPr>
              <w:spacing w:line="440" w:lineRule="exact"/>
              <w:jc w:val="center"/>
              <w:rPr>
                <w:sz w:val="24"/>
                <w:szCs w:val="24"/>
              </w:rPr>
            </w:pPr>
            <w:r>
              <w:rPr>
                <w:rFonts w:hint="eastAsia" w:ascii="华文中宋" w:hAnsi="华文中宋" w:eastAsia="华文中宋" w:cs="黑体"/>
                <w:sz w:val="24"/>
                <w:szCs w:val="24"/>
              </w:rPr>
              <w:t>服务期限</w:t>
            </w:r>
          </w:p>
        </w:tc>
        <w:tc>
          <w:tcPr>
            <w:tcW w:w="8069" w:type="dxa"/>
            <w:tcBorders>
              <w:right w:val="single" w:color="auto" w:sz="12" w:space="0"/>
            </w:tcBorders>
            <w:vAlign w:val="center"/>
          </w:tcPr>
          <w:p>
            <w:pPr>
              <w:jc w:val="center"/>
              <w:rPr>
                <w:rFonts w:ascii="华文中宋" w:hAnsi="华文中宋" w:eastAsia="华文中宋"/>
                <w:sz w:val="24"/>
              </w:rPr>
            </w:pPr>
            <w:r>
              <w:rPr>
                <w:rFonts w:hint="eastAsia" w:ascii="华文中宋" w:hAnsi="华文中宋" w:eastAsia="华文中宋" w:cs="黑体"/>
                <w:sz w:val="24"/>
                <w:szCs w:val="24"/>
              </w:rPr>
              <w:t>详见第五章采购需求 三、商务要求。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1501" w:type="dxa"/>
            <w:tcBorders>
              <w:left w:val="single" w:color="auto" w:sz="12" w:space="0"/>
            </w:tcBorders>
            <w:vAlign w:val="center"/>
          </w:tcPr>
          <w:p>
            <w:pPr>
              <w:spacing w:line="440" w:lineRule="exact"/>
              <w:jc w:val="center"/>
              <w:rPr>
                <w:rFonts w:ascii="华文中宋" w:hAnsi="华文中宋" w:eastAsia="华文中宋" w:cs="黑体"/>
                <w:sz w:val="24"/>
                <w:szCs w:val="24"/>
              </w:rPr>
            </w:pPr>
            <w:r>
              <w:rPr>
                <w:rFonts w:hint="eastAsia" w:ascii="华文中宋" w:hAnsi="华文中宋" w:eastAsia="华文中宋" w:cs="黑体"/>
                <w:sz w:val="24"/>
                <w:szCs w:val="24"/>
              </w:rPr>
              <w:t>项目实施</w:t>
            </w:r>
          </w:p>
          <w:p>
            <w:pPr>
              <w:spacing w:line="440" w:lineRule="exact"/>
              <w:jc w:val="center"/>
              <w:rPr>
                <w:rFonts w:ascii="华文中宋" w:hAnsi="华文中宋" w:eastAsia="华文中宋" w:cs="黑体"/>
                <w:sz w:val="24"/>
                <w:szCs w:val="24"/>
              </w:rPr>
            </w:pPr>
            <w:r>
              <w:rPr>
                <w:rFonts w:hint="eastAsia" w:ascii="华文中宋" w:hAnsi="华文中宋" w:eastAsia="华文中宋" w:cs="黑体"/>
                <w:sz w:val="24"/>
                <w:szCs w:val="24"/>
              </w:rPr>
              <w:t>地点</w:t>
            </w:r>
          </w:p>
        </w:tc>
        <w:tc>
          <w:tcPr>
            <w:tcW w:w="8069" w:type="dxa"/>
            <w:tcBorders>
              <w:right w:val="single" w:color="auto" w:sz="12" w:space="0"/>
            </w:tcBorders>
            <w:vAlign w:val="center"/>
          </w:tcPr>
          <w:p>
            <w:pPr>
              <w:spacing w:line="440" w:lineRule="exact"/>
              <w:jc w:val="center"/>
              <w:rPr>
                <w:rFonts w:ascii="华文中宋" w:hAnsi="华文中宋" w:eastAsia="华文中宋" w:cs="黑体"/>
                <w:sz w:val="24"/>
                <w:szCs w:val="24"/>
              </w:rPr>
            </w:pPr>
            <w:r>
              <w:rPr>
                <w:rFonts w:hint="eastAsia" w:ascii="华文中宋" w:hAnsi="华文中宋" w:eastAsia="华文中宋" w:cs="黑体"/>
                <w:sz w:val="24"/>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1" w:hRule="atLeast"/>
          <w:jc w:val="center"/>
        </w:trPr>
        <w:tc>
          <w:tcPr>
            <w:tcW w:w="1501" w:type="dxa"/>
            <w:tcBorders>
              <w:left w:val="single" w:color="auto" w:sz="12" w:space="0"/>
            </w:tcBorders>
            <w:vAlign w:val="center"/>
          </w:tcPr>
          <w:p>
            <w:pPr>
              <w:jc w:val="center"/>
              <w:rPr>
                <w:rFonts w:ascii="华文中宋" w:hAnsi="华文中宋" w:eastAsia="华文中宋" w:cs="黑体"/>
                <w:sz w:val="24"/>
                <w:szCs w:val="24"/>
              </w:rPr>
            </w:pPr>
            <w:r>
              <w:rPr>
                <w:rFonts w:hint="eastAsia" w:ascii="华文中宋" w:hAnsi="华文中宋" w:eastAsia="华文中宋" w:cs="黑体"/>
                <w:sz w:val="24"/>
                <w:szCs w:val="24"/>
              </w:rPr>
              <w:t>备注</w:t>
            </w:r>
          </w:p>
        </w:tc>
        <w:tc>
          <w:tcPr>
            <w:tcW w:w="8069" w:type="dxa"/>
            <w:tcBorders>
              <w:right w:val="single" w:color="auto" w:sz="12" w:space="0"/>
            </w:tcBorders>
            <w:vAlign w:val="center"/>
          </w:tcPr>
          <w:p>
            <w:pPr>
              <w:spacing w:line="360" w:lineRule="auto"/>
              <w:ind w:firstLine="482" w:firstLineChars="201"/>
              <w:jc w:val="left"/>
              <w:rPr>
                <w:rFonts w:ascii="华文中宋" w:hAnsi="华文中宋" w:eastAsia="华文中宋" w:cs="黑体"/>
                <w:sz w:val="24"/>
              </w:rPr>
            </w:pPr>
            <w:r>
              <w:rPr>
                <w:rFonts w:hint="eastAsia" w:ascii="华文中宋" w:hAnsi="华文中宋" w:eastAsia="华文中宋" w:cs="黑体"/>
                <w:sz w:val="24"/>
              </w:rPr>
              <w:t>1、所有价格均应以人民币报价，全额单位为元。</w:t>
            </w:r>
          </w:p>
          <w:p>
            <w:pPr>
              <w:spacing w:line="360" w:lineRule="auto"/>
              <w:ind w:firstLine="482" w:firstLineChars="201"/>
              <w:jc w:val="left"/>
              <w:rPr>
                <w:rFonts w:ascii="华文中宋" w:hAnsi="华文中宋" w:eastAsia="华文中宋" w:cs="黑体"/>
                <w:sz w:val="24"/>
              </w:rPr>
            </w:pPr>
            <w:r>
              <w:rPr>
                <w:rFonts w:hint="eastAsia" w:ascii="华文中宋" w:hAnsi="华文中宋" w:eastAsia="华文中宋" w:cs="黑体"/>
                <w:sz w:val="24"/>
              </w:rPr>
              <w:t>2、投标报价指完成采购内容中所发生的一切费用均应包含在报价总价中。包括服务中发生的</w:t>
            </w:r>
            <w:r>
              <w:rPr>
                <w:rFonts w:ascii="华文中宋" w:hAnsi="华文中宋" w:eastAsia="华文中宋" w:cs="黑体"/>
                <w:sz w:val="24"/>
              </w:rPr>
              <w:t>监控费、维保费、</w:t>
            </w:r>
            <w:r>
              <w:rPr>
                <w:rFonts w:hint="eastAsia" w:ascii="华文中宋" w:hAnsi="华文中宋" w:eastAsia="华文中宋" w:cs="黑体"/>
                <w:sz w:val="24"/>
              </w:rPr>
              <w:t>评估费、</w:t>
            </w:r>
            <w:r>
              <w:rPr>
                <w:rFonts w:ascii="华文中宋" w:hAnsi="华文中宋" w:eastAsia="华文中宋" w:cs="黑体"/>
                <w:sz w:val="24"/>
              </w:rPr>
              <w:t>检查费、系统调试费、标配工具费用、办公设备及物耗费用、培训费、咨询费、人员工资（包括应交的五险一金等费用）、加班费、风险金和税费、利润、不可预见费等在项目实施过程中的全部费用，响应供应商报价中漏报、少报的费用，视为此项费用已隐含在报价中，</w:t>
            </w:r>
            <w:r>
              <w:rPr>
                <w:rFonts w:hint="eastAsia" w:ascii="华文中宋" w:hAnsi="华文中宋" w:eastAsia="华文中宋" w:cs="黑体"/>
                <w:sz w:val="24"/>
              </w:rPr>
              <w:t>成交</w:t>
            </w:r>
            <w:r>
              <w:rPr>
                <w:rFonts w:ascii="华文中宋" w:hAnsi="华文中宋" w:eastAsia="华文中宋" w:cs="黑体"/>
                <w:sz w:val="24"/>
              </w:rPr>
              <w:t>后不得再向采购人收取任何费用。</w:t>
            </w:r>
          </w:p>
        </w:tc>
      </w:tr>
    </w:tbl>
    <w:p>
      <w:pPr>
        <w:widowControl w:val="0"/>
        <w:spacing w:after="120"/>
        <w:jc w:val="both"/>
        <w:rPr>
          <w:rFonts w:ascii="Times New Roman" w:hAnsi="Times New Roman" w:eastAsia="宋体" w:cs="Times New Roman"/>
          <w:kern w:val="2"/>
          <w:sz w:val="21"/>
          <w:lang w:val="en-US" w:eastAsia="zh-CN" w:bidi="ar-SA"/>
        </w:rPr>
      </w:pPr>
    </w:p>
    <w:p>
      <w:r>
        <w:br w:type="page"/>
      </w:r>
    </w:p>
    <w:p>
      <w:pPr>
        <w:widowControl w:val="0"/>
        <w:spacing w:after="120"/>
        <w:jc w:val="both"/>
        <w:rPr>
          <w:rFonts w:ascii="Times New Roman" w:hAnsi="Times New Roman" w:eastAsia="宋体" w:cs="Times New Roman"/>
          <w:kern w:val="2"/>
          <w:sz w:val="21"/>
          <w:lang w:val="en-US" w:eastAsia="zh-CN" w:bidi="ar-SA"/>
        </w:rPr>
      </w:pPr>
    </w:p>
    <w:p>
      <w:pPr>
        <w:keepNext/>
        <w:keepLines/>
        <w:widowControl w:val="0"/>
        <w:numPr>
          <w:ilvl w:val="0"/>
          <w:numId w:val="1"/>
        </w:numPr>
        <w:spacing w:before="0" w:after="0" w:line="460" w:lineRule="exact"/>
        <w:jc w:val="center"/>
        <w:outlineLvl w:val="1"/>
        <w:rPr>
          <w:rFonts w:ascii="华文中宋" w:hAnsi="华文中宋" w:eastAsia="华文中宋" w:cs="华文中宋"/>
          <w:b/>
          <w:bCs/>
          <w:kern w:val="2"/>
          <w:sz w:val="28"/>
          <w:szCs w:val="28"/>
          <w:highlight w:val="white"/>
          <w:lang w:val="en-US" w:eastAsia="zh-CN" w:bidi="ar-SA"/>
        </w:rPr>
      </w:pPr>
      <w:bookmarkStart w:id="6" w:name="_Toc167439815"/>
      <w:r>
        <w:rPr>
          <w:rFonts w:hint="eastAsia" w:ascii="华文中宋" w:hAnsi="华文中宋" w:eastAsia="华文中宋" w:cs="华文中宋"/>
          <w:b/>
          <w:bCs/>
          <w:kern w:val="2"/>
          <w:sz w:val="28"/>
          <w:szCs w:val="28"/>
          <w:highlight w:val="white"/>
          <w:lang w:val="en-US" w:eastAsia="zh-CN" w:bidi="ar-SA"/>
        </w:rPr>
        <w:t>技术标准及要求</w:t>
      </w:r>
      <w:bookmarkEnd w:id="6"/>
    </w:p>
    <w:p>
      <w:pPr>
        <w:widowControl w:val="0"/>
        <w:numPr>
          <w:ilvl w:val="1"/>
          <w:numId w:val="2"/>
        </w:numPr>
        <w:spacing w:line="440" w:lineRule="exact"/>
        <w:ind w:left="960" w:hanging="420" w:firstLineChars="0"/>
        <w:jc w:val="both"/>
        <w:rPr>
          <w:rFonts w:ascii="华文中宋" w:hAnsi="华文中宋" w:eastAsia="华文中宋" w:cs="Times New Roman"/>
          <w:b/>
          <w:kern w:val="2"/>
          <w:sz w:val="24"/>
          <w:lang w:val="en-US" w:eastAsia="zh-CN" w:bidi="ar-SA"/>
        </w:rPr>
      </w:pPr>
      <w:r>
        <w:rPr>
          <w:rFonts w:hint="eastAsia" w:ascii="华文中宋" w:hAnsi="华文中宋" w:eastAsia="华文中宋" w:cs="Times New Roman"/>
          <w:b/>
          <w:kern w:val="2"/>
          <w:sz w:val="24"/>
          <w:lang w:val="en-US" w:eastAsia="zh-CN" w:bidi="ar-SA"/>
        </w:rPr>
        <w:t>服务具体内容及要求</w:t>
      </w:r>
    </w:p>
    <w:tbl>
      <w:tblPr>
        <w:tblStyle w:val="4"/>
        <w:tblW w:w="8901"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992"/>
        <w:gridCol w:w="1418"/>
        <w:gridCol w:w="4961"/>
        <w:gridCol w:w="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blHeader/>
        </w:trPr>
        <w:tc>
          <w:tcPr>
            <w:tcW w:w="709" w:type="dxa"/>
            <w:shd w:val="pct20" w:color="auto" w:fill="auto"/>
          </w:tcPr>
          <w:p>
            <w:pPr>
              <w:spacing w:line="440" w:lineRule="exact"/>
              <w:jc w:val="center"/>
              <w:rPr>
                <w:rFonts w:ascii="华文中宋" w:hAnsi="华文中宋" w:eastAsia="华文中宋" w:cs="Arial"/>
                <w:b/>
                <w:sz w:val="24"/>
                <w:szCs w:val="24"/>
              </w:rPr>
            </w:pPr>
            <w:r>
              <w:rPr>
                <w:rFonts w:hint="eastAsia" w:ascii="华文中宋" w:hAnsi="华文中宋" w:eastAsia="华文中宋" w:cs="Arial"/>
                <w:b/>
                <w:sz w:val="24"/>
                <w:szCs w:val="24"/>
              </w:rPr>
              <w:t>序号</w:t>
            </w:r>
          </w:p>
        </w:tc>
        <w:tc>
          <w:tcPr>
            <w:tcW w:w="992" w:type="dxa"/>
            <w:shd w:val="pct20" w:color="auto" w:fill="auto"/>
          </w:tcPr>
          <w:p>
            <w:pPr>
              <w:spacing w:line="360" w:lineRule="exact"/>
              <w:jc w:val="center"/>
              <w:rPr>
                <w:rFonts w:ascii="华文中宋" w:hAnsi="华文中宋" w:eastAsia="华文中宋" w:cs="Arial"/>
                <w:b/>
                <w:sz w:val="24"/>
                <w:szCs w:val="24"/>
              </w:rPr>
            </w:pPr>
            <w:r>
              <w:rPr>
                <w:rFonts w:hint="eastAsia" w:ascii="华文中宋" w:hAnsi="华文中宋" w:eastAsia="华文中宋" w:cs="Arial"/>
                <w:b/>
                <w:sz w:val="24"/>
                <w:szCs w:val="24"/>
              </w:rPr>
              <w:t>总体</w:t>
            </w:r>
          </w:p>
          <w:p>
            <w:pPr>
              <w:spacing w:line="360" w:lineRule="exact"/>
              <w:jc w:val="center"/>
              <w:rPr>
                <w:rFonts w:ascii="华文中宋" w:hAnsi="华文中宋" w:eastAsia="华文中宋" w:cs="Arial"/>
                <w:b/>
                <w:sz w:val="24"/>
                <w:szCs w:val="24"/>
              </w:rPr>
            </w:pPr>
            <w:r>
              <w:rPr>
                <w:rFonts w:hint="eastAsia" w:ascii="华文中宋" w:hAnsi="华文中宋" w:eastAsia="华文中宋" w:cs="Arial"/>
                <w:b/>
                <w:sz w:val="24"/>
                <w:szCs w:val="24"/>
              </w:rPr>
              <w:t>建设</w:t>
            </w:r>
          </w:p>
        </w:tc>
        <w:tc>
          <w:tcPr>
            <w:tcW w:w="1418" w:type="dxa"/>
            <w:shd w:val="pct20" w:color="auto" w:fill="auto"/>
          </w:tcPr>
          <w:p>
            <w:pPr>
              <w:spacing w:line="360" w:lineRule="exact"/>
              <w:jc w:val="center"/>
              <w:rPr>
                <w:rFonts w:ascii="华文中宋" w:hAnsi="华文中宋" w:eastAsia="华文中宋" w:cs="Arial"/>
                <w:b/>
                <w:sz w:val="24"/>
                <w:szCs w:val="24"/>
              </w:rPr>
            </w:pPr>
            <w:r>
              <w:rPr>
                <w:rFonts w:hint="eastAsia" w:ascii="华文中宋" w:hAnsi="华文中宋" w:eastAsia="华文中宋" w:cs="Arial"/>
                <w:b/>
                <w:sz w:val="24"/>
                <w:szCs w:val="24"/>
              </w:rPr>
              <w:t>建设</w:t>
            </w:r>
          </w:p>
          <w:p>
            <w:pPr>
              <w:spacing w:line="360" w:lineRule="exact"/>
              <w:jc w:val="center"/>
              <w:rPr>
                <w:rFonts w:ascii="华文中宋" w:hAnsi="华文中宋" w:eastAsia="华文中宋" w:cs="Arial"/>
                <w:b/>
                <w:sz w:val="24"/>
                <w:szCs w:val="24"/>
              </w:rPr>
            </w:pPr>
            <w:r>
              <w:rPr>
                <w:rFonts w:hint="eastAsia" w:ascii="华文中宋" w:hAnsi="华文中宋" w:eastAsia="华文中宋" w:cs="Arial"/>
                <w:b/>
                <w:sz w:val="24"/>
                <w:szCs w:val="24"/>
              </w:rPr>
              <w:t>内容</w:t>
            </w:r>
          </w:p>
        </w:tc>
        <w:tc>
          <w:tcPr>
            <w:tcW w:w="4961" w:type="dxa"/>
            <w:shd w:val="pct20" w:color="auto" w:fill="auto"/>
          </w:tcPr>
          <w:p>
            <w:pPr>
              <w:spacing w:line="440" w:lineRule="exact"/>
              <w:jc w:val="center"/>
              <w:rPr>
                <w:rFonts w:ascii="华文中宋" w:hAnsi="华文中宋" w:eastAsia="华文中宋" w:cs="Arial"/>
                <w:b/>
                <w:sz w:val="24"/>
                <w:szCs w:val="24"/>
              </w:rPr>
            </w:pPr>
            <w:r>
              <w:rPr>
                <w:rFonts w:hint="eastAsia" w:ascii="华文中宋" w:hAnsi="华文中宋" w:eastAsia="华文中宋" w:cs="Arial"/>
                <w:b/>
                <w:sz w:val="24"/>
                <w:szCs w:val="24"/>
              </w:rPr>
              <w:t>主要功能参数</w:t>
            </w:r>
          </w:p>
        </w:tc>
        <w:tc>
          <w:tcPr>
            <w:tcW w:w="821" w:type="dxa"/>
            <w:shd w:val="pct20" w:color="auto" w:fill="auto"/>
          </w:tcPr>
          <w:p>
            <w:pPr>
              <w:spacing w:line="440" w:lineRule="exact"/>
              <w:jc w:val="center"/>
              <w:rPr>
                <w:rFonts w:ascii="华文中宋" w:hAnsi="华文中宋" w:eastAsia="华文中宋" w:cs="Arial"/>
                <w:b/>
                <w:sz w:val="24"/>
                <w:szCs w:val="24"/>
              </w:rPr>
            </w:pPr>
            <w:r>
              <w:rPr>
                <w:rFonts w:hint="eastAsia" w:ascii="华文中宋" w:hAnsi="华文中宋" w:eastAsia="华文中宋" w:cs="Arial"/>
                <w:b/>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vAlign w:val="center"/>
          </w:tcPr>
          <w:p>
            <w:pPr>
              <w:spacing w:line="440" w:lineRule="exact"/>
              <w:jc w:val="center"/>
              <w:rPr>
                <w:rFonts w:ascii="华文中宋" w:hAnsi="华文中宋" w:eastAsia="华文中宋" w:cs="Arial"/>
                <w:sz w:val="24"/>
                <w:szCs w:val="24"/>
              </w:rPr>
            </w:pPr>
            <w:r>
              <w:rPr>
                <w:rFonts w:hint="eastAsia" w:ascii="华文中宋" w:hAnsi="华文中宋" w:eastAsia="华文中宋" w:cs="Arial"/>
                <w:sz w:val="24"/>
                <w:szCs w:val="24"/>
              </w:rPr>
              <w:t>1</w:t>
            </w:r>
          </w:p>
        </w:tc>
        <w:tc>
          <w:tcPr>
            <w:tcW w:w="992" w:type="dxa"/>
            <w:vMerge w:val="restart"/>
            <w:vAlign w:val="center"/>
          </w:tcPr>
          <w:p>
            <w:pPr>
              <w:spacing w:line="360" w:lineRule="exact"/>
              <w:jc w:val="center"/>
              <w:rPr>
                <w:rFonts w:ascii="华文中宋" w:hAnsi="华文中宋" w:eastAsia="华文中宋" w:cs="Arial"/>
                <w:b/>
                <w:sz w:val="24"/>
                <w:szCs w:val="24"/>
              </w:rPr>
            </w:pPr>
            <w:r>
              <w:rPr>
                <w:rFonts w:hint="eastAsia" w:ascii="华文中宋" w:hAnsi="华文中宋" w:eastAsia="华文中宋" w:cs="Arial"/>
                <w:b/>
                <w:sz w:val="24"/>
                <w:szCs w:val="24"/>
              </w:rPr>
              <w:t>安全</w:t>
            </w:r>
          </w:p>
          <w:p>
            <w:pPr>
              <w:spacing w:line="360" w:lineRule="exact"/>
              <w:jc w:val="center"/>
              <w:rPr>
                <w:rFonts w:ascii="华文中宋" w:hAnsi="华文中宋" w:eastAsia="华文中宋" w:cs="Arial"/>
                <w:b/>
                <w:sz w:val="24"/>
                <w:szCs w:val="24"/>
              </w:rPr>
            </w:pPr>
            <w:r>
              <w:rPr>
                <w:rFonts w:hint="eastAsia" w:ascii="华文中宋" w:hAnsi="华文中宋" w:eastAsia="华文中宋" w:cs="Arial"/>
                <w:b/>
                <w:sz w:val="24"/>
                <w:szCs w:val="24"/>
              </w:rPr>
              <w:t>服务</w:t>
            </w:r>
          </w:p>
        </w:tc>
        <w:tc>
          <w:tcPr>
            <w:tcW w:w="1418" w:type="dxa"/>
            <w:vAlign w:val="center"/>
          </w:tcPr>
          <w:p>
            <w:pPr>
              <w:spacing w:line="360" w:lineRule="exact"/>
              <w:jc w:val="center"/>
              <w:rPr>
                <w:rFonts w:ascii="华文中宋" w:hAnsi="华文中宋" w:eastAsia="华文中宋" w:cs="Arial"/>
                <w:b/>
                <w:sz w:val="24"/>
                <w:szCs w:val="24"/>
              </w:rPr>
            </w:pPr>
            <w:bookmarkStart w:id="7" w:name="_Hlk138065978"/>
            <w:r>
              <w:rPr>
                <w:rFonts w:hint="eastAsia" w:ascii="华文中宋" w:hAnsi="华文中宋" w:eastAsia="华文中宋" w:cs="Arial"/>
                <w:b/>
                <w:sz w:val="24"/>
                <w:szCs w:val="24"/>
              </w:rPr>
              <w:t>渗透</w:t>
            </w:r>
          </w:p>
          <w:p>
            <w:pPr>
              <w:spacing w:line="360" w:lineRule="exact"/>
              <w:jc w:val="center"/>
              <w:rPr>
                <w:rFonts w:ascii="华文中宋" w:hAnsi="华文中宋" w:eastAsia="华文中宋" w:cs="Arial"/>
                <w:b/>
                <w:sz w:val="24"/>
                <w:szCs w:val="24"/>
              </w:rPr>
            </w:pPr>
            <w:r>
              <w:rPr>
                <w:rFonts w:hint="eastAsia" w:ascii="华文中宋" w:hAnsi="华文中宋" w:eastAsia="华文中宋" w:cs="Arial"/>
                <w:b/>
                <w:sz w:val="24"/>
                <w:szCs w:val="24"/>
              </w:rPr>
              <w:t>测试服务</w:t>
            </w:r>
            <w:bookmarkEnd w:id="7"/>
          </w:p>
        </w:tc>
        <w:tc>
          <w:tcPr>
            <w:tcW w:w="4961" w:type="dxa"/>
          </w:tcPr>
          <w:p>
            <w:pPr>
              <w:spacing w:line="440" w:lineRule="exact"/>
              <w:rPr>
                <w:rFonts w:ascii="华文中宋" w:hAnsi="华文中宋" w:eastAsia="华文中宋"/>
                <w:sz w:val="24"/>
                <w:szCs w:val="24"/>
              </w:rPr>
            </w:pPr>
            <w:r>
              <w:rPr>
                <w:rFonts w:ascii="华文中宋" w:hAnsi="华文中宋" w:eastAsia="华文中宋"/>
                <w:sz w:val="24"/>
                <w:szCs w:val="24"/>
              </w:rPr>
              <w:t>模仿黑客的手法远程或本地对重要资产进行模拟攻击，</w:t>
            </w:r>
            <w:r>
              <w:rPr>
                <w:rFonts w:hint="eastAsia" w:ascii="华文中宋" w:hAnsi="华文中宋" w:eastAsia="华文中宋"/>
                <w:sz w:val="24"/>
                <w:szCs w:val="24"/>
              </w:rPr>
              <w:t>渗透测试内容，应包括数据库系统、中间件、应用系统以及身份认证等安全机制，具体要求内容：根据网络脆弱性检测中发现的脆弱点，模拟黑客对系统中的终端、服务器进行现场滲透性验证、</w:t>
            </w:r>
            <w:r>
              <w:rPr>
                <w:rFonts w:ascii="华文中宋" w:hAnsi="华文中宋" w:eastAsia="华文中宋"/>
                <w:sz w:val="24"/>
                <w:szCs w:val="24"/>
              </w:rPr>
              <w:t>SQL 注入、XSS (跨站脚本)、CRLF 注入、代码执行、目录遍历、文件包含、输入验证、认证、逻辑错误、密码保护匿域猜测、字典攻击、特定的错误页面检测、脆弱权限的目录和危险的 HTTP 方法（如：PUT、DELETE)等。由安全专家进行深入的手工测试和分析，识别弱点扫描工具或者脆弱性扫描工具无法发现的问题。主要分析内容包括逻辑设计缺陷、上传绕过、输入输出校验绕过、数据篡改、功能绕过、异常</w:t>
            </w:r>
            <w:r>
              <w:rPr>
                <w:rFonts w:hint="eastAsia" w:ascii="华文中宋" w:hAnsi="华文中宋" w:eastAsia="华文中宋"/>
                <w:sz w:val="24"/>
                <w:szCs w:val="24"/>
              </w:rPr>
              <w:t>错误、逻辑漏洞、越权等以及其他专项内容测试与分析，了解应用系统可能存在的潜在漏洞以及发生漏洞利用时可能造成的危害，渗透结束后生成相关报告并提供修复建议。漏洞扫描不限次数。</w:t>
            </w:r>
          </w:p>
          <w:p>
            <w:pPr>
              <w:spacing w:line="440" w:lineRule="exact"/>
              <w:rPr>
                <w:rFonts w:ascii="华文中宋" w:hAnsi="华文中宋" w:eastAsia="华文中宋"/>
                <w:b/>
                <w:bCs/>
                <w:sz w:val="24"/>
                <w:szCs w:val="24"/>
              </w:rPr>
            </w:pPr>
            <w:r>
              <w:rPr>
                <w:rFonts w:ascii="华文中宋" w:hAnsi="华文中宋" w:eastAsia="华文中宋"/>
                <w:b/>
                <w:bCs/>
                <w:sz w:val="24"/>
                <w:szCs w:val="24"/>
              </w:rPr>
              <w:t>交付物：《渗透测试报告》</w:t>
            </w:r>
          </w:p>
          <w:p>
            <w:pPr>
              <w:spacing w:line="440" w:lineRule="exact"/>
              <w:rPr>
                <w:rFonts w:ascii="华文中宋" w:hAnsi="华文中宋" w:eastAsia="华文中宋"/>
                <w:sz w:val="24"/>
                <w:szCs w:val="24"/>
              </w:rPr>
            </w:pPr>
            <w:r>
              <w:rPr>
                <w:rFonts w:hint="eastAsia" w:ascii="华文中宋" w:hAnsi="华文中宋" w:eastAsia="华文中宋"/>
                <w:b/>
                <w:bCs/>
                <w:sz w:val="24"/>
                <w:szCs w:val="24"/>
              </w:rPr>
              <w:t>服务频次：不低于20个系统</w:t>
            </w:r>
          </w:p>
        </w:tc>
        <w:tc>
          <w:tcPr>
            <w:tcW w:w="821" w:type="dxa"/>
            <w:vMerge w:val="restart"/>
            <w:vAlign w:val="center"/>
          </w:tcPr>
          <w:p>
            <w:pPr>
              <w:spacing w:line="440" w:lineRule="exact"/>
              <w:jc w:val="center"/>
              <w:rPr>
                <w:rFonts w:ascii="华文中宋" w:hAnsi="华文中宋" w:eastAsia="华文中宋"/>
                <w:sz w:val="24"/>
                <w:szCs w:val="24"/>
              </w:rPr>
            </w:pPr>
            <w:r>
              <w:rPr>
                <w:rFonts w:hint="eastAsia" w:ascii="华文中宋" w:hAnsi="华文中宋" w:eastAsia="华文中宋"/>
                <w:sz w:val="24"/>
                <w:szCs w:val="24"/>
              </w:rPr>
              <w:t>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tcPr>
          <w:p>
            <w:pPr>
              <w:spacing w:line="440" w:lineRule="exact"/>
              <w:jc w:val="center"/>
              <w:rPr>
                <w:rFonts w:ascii="华文中宋" w:hAnsi="华文中宋" w:eastAsia="华文中宋" w:cs="Arial"/>
                <w:sz w:val="24"/>
                <w:szCs w:val="24"/>
              </w:rPr>
            </w:pPr>
          </w:p>
        </w:tc>
        <w:tc>
          <w:tcPr>
            <w:tcW w:w="992" w:type="dxa"/>
            <w:vMerge w:val="continue"/>
          </w:tcPr>
          <w:p>
            <w:pPr>
              <w:spacing w:line="440" w:lineRule="exact"/>
              <w:jc w:val="left"/>
              <w:rPr>
                <w:rFonts w:ascii="华文中宋" w:hAnsi="华文中宋" w:eastAsia="华文中宋" w:cs="Arial"/>
                <w:sz w:val="24"/>
                <w:szCs w:val="24"/>
              </w:rPr>
            </w:pPr>
          </w:p>
        </w:tc>
        <w:tc>
          <w:tcPr>
            <w:tcW w:w="1418" w:type="dxa"/>
            <w:vAlign w:val="center"/>
          </w:tcPr>
          <w:p>
            <w:pPr>
              <w:spacing w:line="440" w:lineRule="exact"/>
              <w:jc w:val="center"/>
              <w:rPr>
                <w:rFonts w:ascii="华文中宋" w:hAnsi="华文中宋" w:eastAsia="华文中宋" w:cs="Arial"/>
                <w:sz w:val="24"/>
                <w:szCs w:val="24"/>
              </w:rPr>
            </w:pPr>
            <w:r>
              <w:rPr>
                <w:rFonts w:hint="eastAsia" w:ascii="华文中宋" w:hAnsi="华文中宋" w:eastAsia="华文中宋" w:cs="Arial"/>
                <w:sz w:val="24"/>
                <w:szCs w:val="24"/>
              </w:rPr>
              <w:t>风险</w:t>
            </w:r>
          </w:p>
          <w:p>
            <w:pPr>
              <w:spacing w:line="440" w:lineRule="exact"/>
              <w:jc w:val="center"/>
              <w:rPr>
                <w:rFonts w:ascii="华文中宋" w:hAnsi="华文中宋" w:eastAsia="华文中宋" w:cs="Arial"/>
                <w:sz w:val="24"/>
                <w:szCs w:val="24"/>
              </w:rPr>
            </w:pPr>
            <w:r>
              <w:rPr>
                <w:rFonts w:hint="eastAsia" w:ascii="华文中宋" w:hAnsi="华文中宋" w:eastAsia="华文中宋" w:cs="Arial"/>
                <w:sz w:val="24"/>
                <w:szCs w:val="24"/>
              </w:rPr>
              <w:t>评估服务</w:t>
            </w:r>
          </w:p>
        </w:tc>
        <w:tc>
          <w:tcPr>
            <w:tcW w:w="4961" w:type="dxa"/>
          </w:tcPr>
          <w:p>
            <w:pPr>
              <w:spacing w:line="440" w:lineRule="exact"/>
              <w:rPr>
                <w:rFonts w:ascii="华文中宋" w:hAnsi="华文中宋" w:eastAsia="华文中宋"/>
                <w:sz w:val="24"/>
                <w:szCs w:val="24"/>
              </w:rPr>
            </w:pPr>
            <w:r>
              <w:rPr>
                <w:rFonts w:hint="eastAsia" w:ascii="华文中宋" w:hAnsi="华文中宋" w:eastAsia="华文中宋"/>
                <w:sz w:val="24"/>
                <w:szCs w:val="24"/>
              </w:rPr>
              <w:t>通过全局的脆弱性评估、威胁评估和风险评估，掌握通过信息摸排、基线核查等手段对信息系统安全风险状况，以更好地满足国家、行业要求，并与信息系统自身安全保护需求结合起来，针对信息系统进行一次完整的风险评估，明确风险实际状况，并提出风险处置建议和风险评估报告。</w:t>
            </w:r>
          </w:p>
          <w:p>
            <w:pPr>
              <w:spacing w:line="440" w:lineRule="exact"/>
              <w:rPr>
                <w:rFonts w:ascii="华文中宋" w:hAnsi="华文中宋" w:eastAsia="华文中宋"/>
                <w:b/>
                <w:bCs/>
                <w:sz w:val="24"/>
                <w:szCs w:val="24"/>
              </w:rPr>
            </w:pPr>
            <w:r>
              <w:rPr>
                <w:rFonts w:ascii="华文中宋" w:hAnsi="华文中宋" w:eastAsia="华文中宋"/>
                <w:b/>
                <w:bCs/>
                <w:sz w:val="24"/>
                <w:szCs w:val="24"/>
              </w:rPr>
              <w:t>交付物：《</w:t>
            </w:r>
            <w:r>
              <w:rPr>
                <w:rFonts w:hint="eastAsia" w:ascii="华文中宋" w:hAnsi="华文中宋" w:eastAsia="华文中宋"/>
                <w:b/>
                <w:bCs/>
                <w:sz w:val="24"/>
                <w:szCs w:val="24"/>
              </w:rPr>
              <w:t>风险评估</w:t>
            </w:r>
            <w:r>
              <w:rPr>
                <w:rFonts w:ascii="华文中宋" w:hAnsi="华文中宋" w:eastAsia="华文中宋"/>
                <w:b/>
                <w:bCs/>
                <w:sz w:val="24"/>
                <w:szCs w:val="24"/>
              </w:rPr>
              <w:t>报告》</w:t>
            </w:r>
          </w:p>
          <w:p>
            <w:pPr>
              <w:spacing w:line="440" w:lineRule="exact"/>
              <w:rPr>
                <w:rFonts w:ascii="华文中宋" w:hAnsi="华文中宋" w:eastAsia="华文中宋" w:cs="Arial"/>
                <w:sz w:val="24"/>
                <w:szCs w:val="24"/>
              </w:rPr>
            </w:pPr>
            <w:r>
              <w:rPr>
                <w:rFonts w:hint="eastAsia" w:ascii="华文中宋" w:hAnsi="华文中宋" w:eastAsia="华文中宋"/>
                <w:b/>
                <w:bCs/>
                <w:sz w:val="24"/>
                <w:szCs w:val="24"/>
              </w:rPr>
              <w:t>服务频次：不低于10个系统</w:t>
            </w:r>
          </w:p>
        </w:tc>
        <w:tc>
          <w:tcPr>
            <w:tcW w:w="821" w:type="dxa"/>
            <w:vMerge w:val="continue"/>
          </w:tcPr>
          <w:p>
            <w:pPr>
              <w:spacing w:line="440" w:lineRule="exact"/>
              <w:rPr>
                <w:rFonts w:ascii="华文中宋" w:hAnsi="华文中宋" w:eastAsia="华文中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tcPr>
          <w:p>
            <w:pPr>
              <w:spacing w:line="440" w:lineRule="exact"/>
              <w:jc w:val="center"/>
              <w:rPr>
                <w:rFonts w:ascii="华文中宋" w:hAnsi="华文中宋" w:eastAsia="华文中宋" w:cs="Arial"/>
                <w:sz w:val="24"/>
                <w:szCs w:val="24"/>
              </w:rPr>
            </w:pPr>
          </w:p>
        </w:tc>
        <w:tc>
          <w:tcPr>
            <w:tcW w:w="992" w:type="dxa"/>
            <w:vMerge w:val="continue"/>
          </w:tcPr>
          <w:p>
            <w:pPr>
              <w:spacing w:line="440" w:lineRule="exact"/>
              <w:jc w:val="left"/>
              <w:rPr>
                <w:rFonts w:ascii="华文中宋" w:hAnsi="华文中宋" w:eastAsia="华文中宋" w:cs="Arial"/>
                <w:sz w:val="24"/>
                <w:szCs w:val="24"/>
              </w:rPr>
            </w:pPr>
          </w:p>
        </w:tc>
        <w:tc>
          <w:tcPr>
            <w:tcW w:w="1418" w:type="dxa"/>
            <w:vAlign w:val="center"/>
          </w:tcPr>
          <w:p>
            <w:pPr>
              <w:spacing w:line="440" w:lineRule="exact"/>
              <w:jc w:val="center"/>
              <w:rPr>
                <w:rFonts w:ascii="华文中宋" w:hAnsi="华文中宋" w:eastAsia="华文中宋" w:cs="Arial"/>
                <w:sz w:val="24"/>
                <w:szCs w:val="24"/>
              </w:rPr>
            </w:pPr>
            <w:bookmarkStart w:id="8" w:name="_Hlk138066022"/>
            <w:r>
              <w:rPr>
                <w:rFonts w:hint="eastAsia" w:ascii="华文中宋" w:hAnsi="华文中宋" w:eastAsia="华文中宋" w:cs="Arial"/>
                <w:sz w:val="24"/>
                <w:szCs w:val="24"/>
              </w:rPr>
              <w:t>应急</w:t>
            </w:r>
          </w:p>
          <w:p>
            <w:pPr>
              <w:spacing w:line="440" w:lineRule="exact"/>
              <w:jc w:val="center"/>
              <w:rPr>
                <w:rFonts w:ascii="华文中宋" w:hAnsi="华文中宋" w:eastAsia="华文中宋" w:cs="Arial"/>
                <w:sz w:val="24"/>
                <w:szCs w:val="24"/>
              </w:rPr>
            </w:pPr>
            <w:r>
              <w:rPr>
                <w:rFonts w:hint="eastAsia" w:ascii="华文中宋" w:hAnsi="华文中宋" w:eastAsia="华文中宋" w:cs="Arial"/>
                <w:sz w:val="24"/>
                <w:szCs w:val="24"/>
              </w:rPr>
              <w:t>响应服务</w:t>
            </w:r>
            <w:bookmarkEnd w:id="8"/>
          </w:p>
        </w:tc>
        <w:tc>
          <w:tcPr>
            <w:tcW w:w="4961" w:type="dxa"/>
          </w:tcPr>
          <w:p>
            <w:pPr>
              <w:spacing w:line="440" w:lineRule="exact"/>
              <w:rPr>
                <w:rFonts w:ascii="华文中宋" w:hAnsi="华文中宋" w:eastAsia="华文中宋"/>
                <w:sz w:val="24"/>
                <w:szCs w:val="24"/>
              </w:rPr>
            </w:pPr>
            <w:r>
              <w:rPr>
                <w:rFonts w:ascii="华文中宋" w:hAnsi="华文中宋" w:eastAsia="华文中宋"/>
                <w:sz w:val="24"/>
                <w:szCs w:val="24"/>
              </w:rPr>
              <w:t>在出现重要安全事件时（如信息系统遭受攻击、网络病毒爆发等），派遣高级安服人员，通过远程和现场支持的形式协助采购人对遇到的突发性安全事件进行紧急分析和处理。主要工作内容包括：突发事件相关信息的收集、事件的分析、报告提交、问题解决建议等，协助用户解决突发安全事件，并提供应急响应报告。</w:t>
            </w:r>
            <w:r>
              <w:rPr>
                <w:rFonts w:hint="eastAsia" w:ascii="华文中宋" w:hAnsi="华文中宋" w:eastAsia="华文中宋"/>
                <w:sz w:val="24"/>
                <w:szCs w:val="24"/>
              </w:rPr>
              <w:t>为保证应急响应服务中故障排查的质量，供应商提供的故障排查服务工具需具备一种故障排查方法，可提高应急响应服务过程中故障排查的效率。</w:t>
            </w:r>
          </w:p>
          <w:p>
            <w:pPr>
              <w:spacing w:line="440" w:lineRule="exact"/>
              <w:rPr>
                <w:rFonts w:ascii="华文中宋" w:hAnsi="华文中宋" w:eastAsia="华文中宋"/>
                <w:b/>
                <w:bCs/>
                <w:sz w:val="24"/>
                <w:szCs w:val="24"/>
              </w:rPr>
            </w:pPr>
            <w:r>
              <w:rPr>
                <w:rFonts w:ascii="华文中宋" w:hAnsi="华文中宋" w:eastAsia="华文中宋"/>
                <w:b/>
                <w:bCs/>
                <w:sz w:val="24"/>
                <w:szCs w:val="24"/>
              </w:rPr>
              <w:t>交付物：《应急响应</w:t>
            </w:r>
            <w:r>
              <w:rPr>
                <w:rFonts w:hint="eastAsia" w:ascii="华文中宋" w:hAnsi="华文中宋" w:eastAsia="华文中宋"/>
                <w:b/>
                <w:bCs/>
                <w:sz w:val="24"/>
                <w:szCs w:val="24"/>
              </w:rPr>
              <w:t>技术服务单</w:t>
            </w:r>
            <w:r>
              <w:rPr>
                <w:rFonts w:ascii="华文中宋" w:hAnsi="华文中宋" w:eastAsia="华文中宋"/>
                <w:b/>
                <w:bCs/>
                <w:sz w:val="24"/>
                <w:szCs w:val="24"/>
              </w:rPr>
              <w:t>》</w:t>
            </w:r>
            <w:r>
              <w:rPr>
                <w:rFonts w:hint="eastAsia" w:ascii="华文中宋" w:hAnsi="华文中宋" w:eastAsia="华文中宋"/>
                <w:b/>
                <w:bCs/>
                <w:sz w:val="24"/>
                <w:szCs w:val="24"/>
              </w:rPr>
              <w:t>，需客户签字</w:t>
            </w:r>
          </w:p>
          <w:p>
            <w:pPr>
              <w:spacing w:line="440" w:lineRule="exact"/>
              <w:rPr>
                <w:rFonts w:ascii="华文中宋" w:hAnsi="华文中宋" w:eastAsia="华文中宋" w:cs="Arial"/>
                <w:sz w:val="24"/>
                <w:szCs w:val="24"/>
              </w:rPr>
            </w:pPr>
            <w:r>
              <w:rPr>
                <w:rFonts w:hint="eastAsia" w:ascii="华文中宋" w:hAnsi="华文中宋" w:eastAsia="华文中宋"/>
                <w:b/>
                <w:bCs/>
                <w:sz w:val="24"/>
                <w:szCs w:val="24"/>
              </w:rPr>
              <w:t>服务频次：4次</w:t>
            </w:r>
          </w:p>
        </w:tc>
        <w:tc>
          <w:tcPr>
            <w:tcW w:w="821" w:type="dxa"/>
            <w:vMerge w:val="continue"/>
          </w:tcPr>
          <w:p>
            <w:pPr>
              <w:spacing w:line="440" w:lineRule="exact"/>
              <w:rPr>
                <w:rFonts w:ascii="华文中宋" w:hAnsi="华文中宋" w:eastAsia="华文中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tcPr>
          <w:p>
            <w:pPr>
              <w:spacing w:line="440" w:lineRule="exact"/>
              <w:jc w:val="center"/>
              <w:rPr>
                <w:rFonts w:ascii="华文中宋" w:hAnsi="华文中宋" w:eastAsia="华文中宋" w:cs="Arial"/>
                <w:sz w:val="24"/>
                <w:szCs w:val="24"/>
              </w:rPr>
            </w:pPr>
          </w:p>
        </w:tc>
        <w:tc>
          <w:tcPr>
            <w:tcW w:w="992" w:type="dxa"/>
            <w:vMerge w:val="continue"/>
          </w:tcPr>
          <w:p>
            <w:pPr>
              <w:spacing w:line="440" w:lineRule="exact"/>
              <w:jc w:val="left"/>
              <w:rPr>
                <w:rFonts w:ascii="华文中宋" w:hAnsi="华文中宋" w:eastAsia="华文中宋" w:cs="Arial"/>
                <w:sz w:val="24"/>
                <w:szCs w:val="24"/>
              </w:rPr>
            </w:pPr>
          </w:p>
        </w:tc>
        <w:tc>
          <w:tcPr>
            <w:tcW w:w="1418" w:type="dxa"/>
            <w:vAlign w:val="center"/>
          </w:tcPr>
          <w:p>
            <w:pPr>
              <w:spacing w:line="440" w:lineRule="exact"/>
              <w:jc w:val="center"/>
              <w:rPr>
                <w:rFonts w:ascii="华文中宋" w:hAnsi="华文中宋" w:eastAsia="华文中宋" w:cs="Arial"/>
                <w:sz w:val="24"/>
                <w:szCs w:val="24"/>
              </w:rPr>
            </w:pPr>
            <w:r>
              <w:rPr>
                <w:rFonts w:hint="eastAsia" w:ascii="华文中宋" w:hAnsi="华文中宋" w:eastAsia="华文中宋" w:cs="Arial"/>
                <w:sz w:val="24"/>
                <w:szCs w:val="24"/>
              </w:rPr>
              <w:t>网站</w:t>
            </w:r>
          </w:p>
          <w:p>
            <w:pPr>
              <w:spacing w:line="440" w:lineRule="exact"/>
              <w:jc w:val="center"/>
              <w:rPr>
                <w:rFonts w:ascii="华文中宋" w:hAnsi="华文中宋" w:eastAsia="华文中宋" w:cs="Arial"/>
                <w:sz w:val="24"/>
                <w:szCs w:val="24"/>
              </w:rPr>
            </w:pPr>
            <w:r>
              <w:rPr>
                <w:rFonts w:hint="eastAsia" w:ascii="华文中宋" w:hAnsi="华文中宋" w:eastAsia="华文中宋" w:cs="Arial"/>
                <w:sz w:val="24"/>
                <w:szCs w:val="24"/>
              </w:rPr>
              <w:t>监测服务</w:t>
            </w:r>
          </w:p>
        </w:tc>
        <w:tc>
          <w:tcPr>
            <w:tcW w:w="4961" w:type="dxa"/>
          </w:tcPr>
          <w:p>
            <w:pPr>
              <w:spacing w:line="440" w:lineRule="exact"/>
              <w:rPr>
                <w:rFonts w:ascii="华文中宋" w:hAnsi="华文中宋" w:eastAsia="华文中宋"/>
                <w:sz w:val="24"/>
                <w:szCs w:val="24"/>
              </w:rPr>
            </w:pPr>
            <w:r>
              <w:rPr>
                <w:rFonts w:hint="eastAsia" w:ascii="华文中宋" w:hAnsi="华文中宋" w:eastAsia="华文中宋"/>
                <w:sz w:val="24"/>
                <w:szCs w:val="24"/>
              </w:rPr>
              <w:t>通过对目标站点进行</w:t>
            </w:r>
            <w:r>
              <w:rPr>
                <w:rFonts w:ascii="华文中宋" w:hAnsi="华文中宋" w:eastAsia="华文中宋"/>
                <w:sz w:val="24"/>
                <w:szCs w:val="24"/>
              </w:rPr>
              <w:t xml:space="preserve"> 7×24 小时不间断的页面爬取、分析、匹配，主动实时的发现网站的风险隐患，并及时采取修补措施，对采购人指定网站进行远程安全监测、安全检查、实时告警。网站安全监测服务主要包括以下几方面的内容：</w:t>
            </w:r>
          </w:p>
          <w:p>
            <w:pPr>
              <w:widowControl w:val="0"/>
              <w:numPr>
                <w:ilvl w:val="0"/>
                <w:numId w:val="3"/>
              </w:numPr>
              <w:spacing w:line="440" w:lineRule="exact"/>
              <w:ind w:left="420" w:hanging="420" w:firstLineChars="0"/>
              <w:jc w:val="both"/>
              <w:rPr>
                <w:rFonts w:ascii="华文中宋" w:hAnsi="华文中宋" w:eastAsia="华文中宋" w:cs="Times New Roman"/>
                <w:kern w:val="2"/>
                <w:sz w:val="24"/>
                <w:szCs w:val="24"/>
                <w:lang w:val="en-US" w:eastAsia="zh-CN" w:bidi="ar-SA"/>
              </w:rPr>
            </w:pPr>
            <w:r>
              <w:rPr>
                <w:rFonts w:ascii="华文中宋" w:hAnsi="华文中宋" w:eastAsia="华文中宋" w:cs="Times New Roman"/>
                <w:kern w:val="2"/>
                <w:sz w:val="24"/>
                <w:szCs w:val="24"/>
                <w:lang w:val="en-US" w:eastAsia="zh-CN" w:bidi="ar-SA"/>
              </w:rPr>
              <w:t>远程网站漏洞扫描：</w:t>
            </w:r>
            <w:r>
              <w:rPr>
                <w:rFonts w:hint="eastAsia" w:ascii="华文中宋" w:hAnsi="华文中宋" w:eastAsia="华文中宋" w:cs="Times New Roman"/>
                <w:kern w:val="2"/>
                <w:sz w:val="24"/>
                <w:szCs w:val="24"/>
                <w:lang w:val="en-US" w:eastAsia="zh-CN" w:bidi="ar-SA"/>
              </w:rPr>
              <w:t>通过远程网站漏洞扫描服务，由供应商提供的网络安全专家每月</w:t>
            </w:r>
            <w:r>
              <w:rPr>
                <w:rFonts w:ascii="华文中宋" w:hAnsi="华文中宋" w:eastAsia="华文中宋" w:cs="Times New Roman"/>
                <w:kern w:val="2"/>
                <w:sz w:val="24"/>
                <w:szCs w:val="24"/>
                <w:lang w:val="en-US" w:eastAsia="zh-CN" w:bidi="ar-SA"/>
              </w:rPr>
              <w:t xml:space="preserve"> 1 次定期进行网站结构分析、漏洞分析，获知网站系统层和应用层的漏洞情况，以及对修补漏洞的安全建议。</w:t>
            </w:r>
          </w:p>
          <w:p>
            <w:pPr>
              <w:widowControl w:val="0"/>
              <w:numPr>
                <w:ilvl w:val="0"/>
                <w:numId w:val="3"/>
              </w:numPr>
              <w:spacing w:line="440" w:lineRule="exact"/>
              <w:ind w:left="420" w:hanging="420" w:firstLineChars="0"/>
              <w:jc w:val="both"/>
              <w:rPr>
                <w:rFonts w:ascii="华文中宋" w:hAnsi="华文中宋" w:eastAsia="华文中宋" w:cs="Times New Roman"/>
                <w:kern w:val="2"/>
                <w:sz w:val="24"/>
                <w:szCs w:val="24"/>
                <w:lang w:val="en-US" w:eastAsia="zh-CN" w:bidi="ar-SA"/>
              </w:rPr>
            </w:pPr>
            <w:r>
              <w:rPr>
                <w:rFonts w:ascii="华文中宋" w:hAnsi="华文中宋" w:eastAsia="华文中宋" w:cs="Times New Roman"/>
                <w:kern w:val="2"/>
                <w:sz w:val="24"/>
                <w:szCs w:val="24"/>
                <w:lang w:val="en-US" w:eastAsia="zh-CN" w:bidi="ar-SA"/>
              </w:rPr>
              <w:t>远程网页木马监测：基于安全云平台，采用智能木马检测技术，高效、准确的识别网站页面中的恶意代码，使网站管理员能够第一时间得知网站的安全状态</w:t>
            </w:r>
          </w:p>
          <w:p>
            <w:pPr>
              <w:widowControl w:val="0"/>
              <w:numPr>
                <w:ilvl w:val="0"/>
                <w:numId w:val="3"/>
              </w:numPr>
              <w:spacing w:line="440" w:lineRule="exact"/>
              <w:ind w:left="420" w:hanging="420" w:firstLineChars="0"/>
              <w:jc w:val="both"/>
              <w:rPr>
                <w:rFonts w:ascii="华文中宋" w:hAnsi="华文中宋" w:eastAsia="华文中宋" w:cs="Times New Roman"/>
                <w:kern w:val="2"/>
                <w:sz w:val="24"/>
                <w:szCs w:val="24"/>
                <w:lang w:val="en-US" w:eastAsia="zh-CN" w:bidi="ar-SA"/>
              </w:rPr>
            </w:pPr>
            <w:r>
              <w:rPr>
                <w:rFonts w:ascii="华文中宋" w:hAnsi="华文中宋" w:eastAsia="华文中宋" w:cs="Times New Roman"/>
                <w:kern w:val="2"/>
                <w:sz w:val="24"/>
                <w:szCs w:val="24"/>
                <w:lang w:val="en-US" w:eastAsia="zh-CN" w:bidi="ar-SA"/>
              </w:rPr>
              <w:t>网页敏感内容监测：实时监测网站是否出现一些敏感关键字，如果发现敏感内容，在第一时间通知采购人。采购人也可以自定义所关心的敏感关键字。</w:t>
            </w:r>
          </w:p>
          <w:p>
            <w:pPr>
              <w:widowControl w:val="0"/>
              <w:numPr>
                <w:ilvl w:val="0"/>
                <w:numId w:val="3"/>
              </w:numPr>
              <w:spacing w:line="440" w:lineRule="exact"/>
              <w:ind w:left="420" w:hanging="420" w:firstLineChars="0"/>
              <w:jc w:val="both"/>
              <w:rPr>
                <w:rFonts w:ascii="华文中宋" w:hAnsi="华文中宋" w:eastAsia="华文中宋" w:cs="Times New Roman"/>
                <w:kern w:val="2"/>
                <w:sz w:val="24"/>
                <w:szCs w:val="24"/>
                <w:lang w:val="en-US" w:eastAsia="zh-CN" w:bidi="ar-SA"/>
              </w:rPr>
            </w:pPr>
            <w:r>
              <w:rPr>
                <w:rFonts w:ascii="华文中宋" w:hAnsi="华文中宋" w:eastAsia="华文中宋" w:cs="Times New Roman"/>
                <w:kern w:val="2"/>
                <w:sz w:val="24"/>
                <w:szCs w:val="24"/>
                <w:lang w:val="en-US" w:eastAsia="zh-CN" w:bidi="ar-SA"/>
              </w:rPr>
              <w:t>网站平稳度检测：对网站进行实时远程访问平稳度的动态监视，跟踪访问平稳度动态变化情况，并根据严重程度及时发出报警信号。</w:t>
            </w:r>
          </w:p>
          <w:p>
            <w:pPr>
              <w:widowControl w:val="0"/>
              <w:numPr>
                <w:ilvl w:val="0"/>
                <w:numId w:val="3"/>
              </w:numPr>
              <w:spacing w:line="440" w:lineRule="exact"/>
              <w:ind w:left="420" w:hanging="420" w:firstLineChars="0"/>
              <w:jc w:val="both"/>
              <w:rPr>
                <w:rFonts w:ascii="华文中宋" w:hAnsi="华文中宋" w:eastAsia="华文中宋" w:cs="Times New Roman"/>
                <w:kern w:val="2"/>
                <w:sz w:val="24"/>
                <w:szCs w:val="24"/>
                <w:lang w:val="en-US" w:eastAsia="zh-CN" w:bidi="ar-SA"/>
              </w:rPr>
            </w:pPr>
            <w:r>
              <w:rPr>
                <w:rFonts w:ascii="华文中宋" w:hAnsi="华文中宋" w:eastAsia="华文中宋" w:cs="Times New Roman"/>
                <w:kern w:val="2"/>
                <w:sz w:val="24"/>
                <w:szCs w:val="24"/>
                <w:lang w:val="en-US" w:eastAsia="zh-CN" w:bidi="ar-SA"/>
              </w:rPr>
              <w:t>网页篡改监测：实时监测网站页面状况，如发现页面</w:t>
            </w:r>
            <w:r>
              <w:rPr>
                <w:rFonts w:hint="eastAsia" w:ascii="华文中宋" w:hAnsi="华文中宋" w:eastAsia="华文中宋" w:cs="Times New Roman"/>
                <w:kern w:val="2"/>
                <w:sz w:val="24"/>
                <w:szCs w:val="24"/>
                <w:lang w:val="en-US" w:eastAsia="zh-CN" w:bidi="ar-SA"/>
              </w:rPr>
              <w:t>被篡改情况，第一时间通知采购人。</w:t>
            </w:r>
          </w:p>
          <w:p>
            <w:pPr>
              <w:widowControl w:val="0"/>
              <w:spacing w:line="440" w:lineRule="exact"/>
              <w:ind w:firstLine="0" w:firstLineChars="0"/>
              <w:jc w:val="both"/>
              <w:rPr>
                <w:rFonts w:ascii="华文中宋" w:hAnsi="华文中宋" w:eastAsia="华文中宋" w:cs="Times New Roman"/>
                <w:b/>
                <w:bCs/>
                <w:kern w:val="2"/>
                <w:sz w:val="24"/>
                <w:szCs w:val="24"/>
                <w:lang w:val="en-US" w:eastAsia="zh-CN" w:bidi="ar-SA"/>
              </w:rPr>
            </w:pPr>
            <w:r>
              <w:rPr>
                <w:rFonts w:ascii="华文中宋" w:hAnsi="华文中宋" w:eastAsia="华文中宋" w:cs="Times New Roman"/>
                <w:b/>
                <w:bCs/>
                <w:kern w:val="2"/>
                <w:sz w:val="24"/>
                <w:szCs w:val="24"/>
                <w:lang w:val="en-US" w:eastAsia="zh-CN" w:bidi="ar-SA"/>
              </w:rPr>
              <w:t>交付物：《</w:t>
            </w:r>
            <w:r>
              <w:rPr>
                <w:rFonts w:hint="eastAsia" w:ascii="华文中宋" w:hAnsi="华文中宋" w:eastAsia="华文中宋" w:cs="Times New Roman"/>
                <w:b/>
                <w:bCs/>
                <w:kern w:val="2"/>
                <w:sz w:val="24"/>
                <w:szCs w:val="24"/>
                <w:lang w:val="en-US" w:eastAsia="zh-CN" w:bidi="ar-SA"/>
              </w:rPr>
              <w:t>网站监测报告》-每周一次</w:t>
            </w:r>
          </w:p>
          <w:p>
            <w:pPr>
              <w:spacing w:line="440" w:lineRule="exact"/>
              <w:rPr>
                <w:rFonts w:ascii="华文中宋" w:hAnsi="华文中宋" w:eastAsia="华文中宋"/>
                <w:sz w:val="24"/>
                <w:szCs w:val="24"/>
              </w:rPr>
            </w:pPr>
            <w:r>
              <w:rPr>
                <w:rFonts w:hint="eastAsia" w:ascii="华文中宋" w:hAnsi="华文中宋" w:eastAsia="华文中宋"/>
                <w:b/>
                <w:bCs/>
                <w:sz w:val="24"/>
                <w:szCs w:val="24"/>
              </w:rPr>
              <w:t>服务频次：不低于个20个站点</w:t>
            </w:r>
          </w:p>
        </w:tc>
        <w:tc>
          <w:tcPr>
            <w:tcW w:w="821" w:type="dxa"/>
            <w:vMerge w:val="continue"/>
          </w:tcPr>
          <w:p>
            <w:pPr>
              <w:spacing w:line="440" w:lineRule="exact"/>
              <w:rPr>
                <w:rFonts w:ascii="华文中宋" w:hAnsi="华文中宋" w:eastAsia="华文中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tcPr>
          <w:p>
            <w:pPr>
              <w:spacing w:line="440" w:lineRule="exact"/>
              <w:jc w:val="center"/>
              <w:rPr>
                <w:rFonts w:ascii="华文中宋" w:hAnsi="华文中宋" w:eastAsia="华文中宋" w:cs="Arial"/>
                <w:sz w:val="24"/>
                <w:szCs w:val="24"/>
              </w:rPr>
            </w:pPr>
          </w:p>
        </w:tc>
        <w:tc>
          <w:tcPr>
            <w:tcW w:w="992" w:type="dxa"/>
            <w:vMerge w:val="continue"/>
          </w:tcPr>
          <w:p>
            <w:pPr>
              <w:spacing w:line="440" w:lineRule="exact"/>
              <w:jc w:val="left"/>
              <w:rPr>
                <w:rFonts w:ascii="华文中宋" w:hAnsi="华文中宋" w:eastAsia="华文中宋" w:cs="Arial"/>
                <w:sz w:val="24"/>
                <w:szCs w:val="24"/>
              </w:rPr>
            </w:pPr>
          </w:p>
        </w:tc>
        <w:tc>
          <w:tcPr>
            <w:tcW w:w="1418" w:type="dxa"/>
            <w:vAlign w:val="center"/>
          </w:tcPr>
          <w:p>
            <w:pPr>
              <w:spacing w:line="440" w:lineRule="exact"/>
              <w:jc w:val="center"/>
              <w:rPr>
                <w:rFonts w:ascii="华文中宋" w:hAnsi="华文中宋" w:eastAsia="华文中宋" w:cs="Arial"/>
                <w:sz w:val="24"/>
                <w:szCs w:val="24"/>
              </w:rPr>
            </w:pPr>
            <w:r>
              <w:rPr>
                <w:rFonts w:hint="eastAsia" w:ascii="华文中宋" w:hAnsi="华文中宋" w:eastAsia="华文中宋" w:cs="Arial"/>
                <w:sz w:val="24"/>
                <w:szCs w:val="24"/>
              </w:rPr>
              <w:t>安全运营服务</w:t>
            </w:r>
          </w:p>
        </w:tc>
        <w:tc>
          <w:tcPr>
            <w:tcW w:w="4961" w:type="dxa"/>
          </w:tcPr>
          <w:p>
            <w:pPr>
              <w:numPr>
                <w:ilvl w:val="0"/>
                <w:numId w:val="4"/>
              </w:numPr>
              <w:spacing w:line="440" w:lineRule="exact"/>
              <w:ind w:left="420" w:hanging="420"/>
              <w:rPr>
                <w:rFonts w:ascii="华文中宋" w:hAnsi="华文中宋" w:eastAsia="华文中宋"/>
                <w:sz w:val="24"/>
                <w:szCs w:val="24"/>
              </w:rPr>
            </w:pPr>
            <w:r>
              <w:rPr>
                <w:rFonts w:hint="eastAsia" w:ascii="华文中宋" w:hAnsi="华文中宋" w:eastAsia="华文中宋"/>
                <w:sz w:val="24"/>
                <w:szCs w:val="24"/>
              </w:rPr>
              <w:t>服务方具备云端检测和分析平台，通过采集学校安全设备和本次提供的组件工具的安全告警和安全日志，结合大数据分析、人工智能等技术手段，为学校提供核心10个资产的</w:t>
            </w:r>
            <w:r>
              <w:rPr>
                <w:rFonts w:ascii="华文中宋" w:hAnsi="华文中宋" w:eastAsia="华文中宋"/>
                <w:sz w:val="24"/>
                <w:szCs w:val="24"/>
              </w:rPr>
              <w:t>7*24</w:t>
            </w:r>
            <w:r>
              <w:rPr>
                <w:rFonts w:hint="eastAsia" w:ascii="华文中宋" w:hAnsi="华文中宋" w:eastAsia="华文中宋"/>
                <w:sz w:val="24"/>
                <w:szCs w:val="24"/>
              </w:rPr>
              <w:t>小时持续不间断的安全威胁分析鉴定，同时在平台界面进行展示；分析研判包括但不限于对脆弱性、异常流量、攻击日志、病毒日志等数据进行采集和实时分析研判，支持将同一资产的多个告警进行聚合分析发现各类安全事件并生成工单，并在告警详情中展示告警的基本信息，涉及的业务信息、攻击趋势、威胁详情、攻击原理、处置建议等内容。</w:t>
            </w:r>
          </w:p>
          <w:p>
            <w:pPr>
              <w:numPr>
                <w:ilvl w:val="0"/>
                <w:numId w:val="4"/>
              </w:numPr>
              <w:spacing w:line="440" w:lineRule="exact"/>
              <w:ind w:left="420" w:hanging="420"/>
              <w:rPr>
                <w:rFonts w:ascii="华文中宋" w:hAnsi="华文中宋" w:eastAsia="华文中宋"/>
                <w:sz w:val="24"/>
                <w:szCs w:val="24"/>
              </w:rPr>
            </w:pPr>
            <w:r>
              <w:rPr>
                <w:rFonts w:hint="eastAsia" w:ascii="华文中宋" w:hAnsi="华文中宋" w:eastAsia="华文中宋"/>
                <w:sz w:val="24"/>
                <w:szCs w:val="24"/>
              </w:rPr>
              <w:t>提供的服务监控门户（或用户portal）应具备服务质量可视化展示，服务方能通过可视化的数据，清晰的了解安全专家的服务水平，包括漏洞闭环率、漏洞平均响应时长、漏洞平均闭环时长、威胁闭环率、威胁平均响应时长、威胁平均闭环时长、事件闭环率、事件平均闭环时长。（</w:t>
            </w:r>
            <w:r>
              <w:rPr>
                <w:rFonts w:hint="eastAsia" w:ascii="华文中宋" w:hAnsi="华文中宋" w:eastAsia="华文中宋"/>
                <w:b/>
                <w:bCs/>
                <w:i/>
                <w:sz w:val="24"/>
                <w:szCs w:val="24"/>
                <w:shd w:val="clear" w:color="auto" w:fill="D8D8D8"/>
              </w:rPr>
              <w:t>响应文件中须提供所投产品符合以上技术功能参数的产品功能界面相关截图加盖服务方公章。</w:t>
            </w:r>
            <w:r>
              <w:rPr>
                <w:rFonts w:hint="eastAsia" w:ascii="华文中宋" w:hAnsi="华文中宋" w:eastAsia="华文中宋"/>
                <w:sz w:val="24"/>
                <w:szCs w:val="24"/>
              </w:rPr>
              <w:t>）</w:t>
            </w:r>
          </w:p>
          <w:p>
            <w:pPr>
              <w:numPr>
                <w:ilvl w:val="0"/>
                <w:numId w:val="4"/>
              </w:numPr>
              <w:spacing w:line="440" w:lineRule="exact"/>
              <w:ind w:left="420" w:hanging="420"/>
              <w:rPr>
                <w:rFonts w:ascii="华文中宋" w:hAnsi="华文中宋" w:eastAsia="华文中宋"/>
                <w:sz w:val="24"/>
                <w:szCs w:val="24"/>
              </w:rPr>
            </w:pPr>
            <w:r>
              <w:rPr>
                <w:rFonts w:hint="eastAsia" w:ascii="华文中宋" w:hAnsi="华文中宋" w:eastAsia="华文中宋"/>
                <w:sz w:val="24"/>
                <w:szCs w:val="24"/>
              </w:rPr>
              <w:t>云端服务平台应当具备丰富的策略检查工具（要求不少于40种策略检查的工具），支持排查安全设备防护策略配置的合理性。</w:t>
            </w:r>
            <w:r>
              <w:rPr>
                <w:rFonts w:hint="eastAsia" w:ascii="华文中宋" w:hAnsi="华文中宋" w:eastAsia="华文中宋"/>
                <w:b/>
                <w:bCs/>
                <w:i/>
                <w:sz w:val="24"/>
                <w:szCs w:val="24"/>
                <w:shd w:val="clear" w:color="auto" w:fill="D8D8D8"/>
              </w:rPr>
              <w:t>（响应文件中须提供所投产品符合以上技术功能参数的产品功能界面相关截图加盖服务方公章）。</w:t>
            </w:r>
          </w:p>
          <w:p>
            <w:pPr>
              <w:spacing w:line="440" w:lineRule="exact"/>
              <w:rPr>
                <w:rFonts w:ascii="华文中宋" w:hAnsi="华文中宋" w:eastAsia="华文中宋"/>
                <w:b/>
                <w:bCs/>
                <w:sz w:val="24"/>
                <w:szCs w:val="24"/>
              </w:rPr>
            </w:pPr>
            <w:r>
              <w:rPr>
                <w:rFonts w:hint="eastAsia" w:ascii="华文中宋" w:hAnsi="华文中宋" w:eastAsia="华文中宋"/>
                <w:b/>
                <w:bCs/>
                <w:sz w:val="24"/>
                <w:szCs w:val="24"/>
              </w:rPr>
              <w:t>交付物：《特殊时期值守报告》、《运营周报》、《运营月报》、《运营季报》、《威胁情报》、《年度汇报》、《事件总结报告》</w:t>
            </w:r>
          </w:p>
          <w:p>
            <w:pPr>
              <w:spacing w:line="440" w:lineRule="exact"/>
              <w:rPr>
                <w:rFonts w:ascii="华文中宋" w:hAnsi="华文中宋" w:eastAsia="华文中宋" w:cs="Arial"/>
                <w:sz w:val="24"/>
                <w:szCs w:val="24"/>
              </w:rPr>
            </w:pPr>
            <w:r>
              <w:rPr>
                <w:rFonts w:hint="eastAsia" w:ascii="华文中宋" w:hAnsi="华文中宋" w:eastAsia="华文中宋"/>
                <w:b/>
                <w:bCs/>
                <w:sz w:val="24"/>
                <w:szCs w:val="24"/>
              </w:rPr>
              <w:t>服务频次：一年</w:t>
            </w:r>
          </w:p>
        </w:tc>
        <w:tc>
          <w:tcPr>
            <w:tcW w:w="821" w:type="dxa"/>
            <w:vMerge w:val="restart"/>
          </w:tcPr>
          <w:p>
            <w:pPr>
              <w:spacing w:line="440" w:lineRule="exact"/>
              <w:rPr>
                <w:rFonts w:ascii="华文中宋" w:hAnsi="华文中宋" w:eastAsia="华文中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tcPr>
          <w:p>
            <w:pPr>
              <w:spacing w:line="440" w:lineRule="exact"/>
              <w:jc w:val="center"/>
              <w:rPr>
                <w:rFonts w:ascii="华文中宋" w:hAnsi="华文中宋" w:eastAsia="华文中宋" w:cs="Arial"/>
                <w:sz w:val="24"/>
                <w:szCs w:val="24"/>
              </w:rPr>
            </w:pPr>
          </w:p>
        </w:tc>
        <w:tc>
          <w:tcPr>
            <w:tcW w:w="992" w:type="dxa"/>
            <w:vMerge w:val="continue"/>
          </w:tcPr>
          <w:p>
            <w:pPr>
              <w:spacing w:line="440" w:lineRule="exact"/>
              <w:jc w:val="left"/>
              <w:rPr>
                <w:rFonts w:ascii="华文中宋" w:hAnsi="华文中宋" w:eastAsia="华文中宋" w:cs="Arial"/>
                <w:sz w:val="24"/>
                <w:szCs w:val="24"/>
              </w:rPr>
            </w:pPr>
          </w:p>
        </w:tc>
        <w:tc>
          <w:tcPr>
            <w:tcW w:w="1418" w:type="dxa"/>
            <w:vAlign w:val="center"/>
          </w:tcPr>
          <w:p>
            <w:pPr>
              <w:spacing w:line="440" w:lineRule="exact"/>
              <w:jc w:val="center"/>
              <w:rPr>
                <w:rFonts w:ascii="华文中宋" w:hAnsi="华文中宋" w:eastAsia="华文中宋" w:cs="Arial"/>
                <w:sz w:val="24"/>
                <w:szCs w:val="24"/>
              </w:rPr>
            </w:pPr>
            <w:r>
              <w:rPr>
                <w:rFonts w:hint="eastAsia" w:ascii="华文中宋" w:hAnsi="华文中宋" w:eastAsia="华文中宋" w:cs="Arial"/>
                <w:sz w:val="24"/>
                <w:szCs w:val="24"/>
              </w:rPr>
              <w:t>外部攻击面管理服务</w:t>
            </w:r>
          </w:p>
        </w:tc>
        <w:tc>
          <w:tcPr>
            <w:tcW w:w="4961" w:type="dxa"/>
          </w:tcPr>
          <w:p>
            <w:pPr>
              <w:numPr>
                <w:ilvl w:val="0"/>
                <w:numId w:val="3"/>
              </w:numPr>
              <w:spacing w:line="440" w:lineRule="exact"/>
              <w:ind w:left="420" w:hanging="420"/>
              <w:rPr>
                <w:rFonts w:ascii="华文中宋" w:hAnsi="华文中宋" w:eastAsia="华文中宋"/>
                <w:sz w:val="24"/>
                <w:szCs w:val="24"/>
              </w:rPr>
            </w:pPr>
            <w:r>
              <w:rPr>
                <w:rFonts w:hint="eastAsia" w:ascii="华文中宋" w:hAnsi="华文中宋" w:eastAsia="华文中宋"/>
                <w:sz w:val="24"/>
                <w:szCs w:val="24"/>
              </w:rPr>
              <w:t>支持基于给定一级域名/组织名称对互联网资产进行探测，主动获取互联网侧所能解析的子域名，基于资产探测任务的结果，深度识别并记录资产下各种资产属性，包含但不限于：子域名、IP、开放端口服务应用、资产变动情况、HTTP响应码、端口banner、组件、归属地、SSL证书等；</w:t>
            </w:r>
          </w:p>
          <w:p>
            <w:pPr>
              <w:numPr>
                <w:ilvl w:val="0"/>
                <w:numId w:val="3"/>
              </w:numPr>
              <w:spacing w:line="440" w:lineRule="exact"/>
              <w:ind w:left="420" w:hanging="420"/>
              <w:rPr>
                <w:rFonts w:ascii="华文中宋" w:hAnsi="华文中宋" w:eastAsia="华文中宋"/>
                <w:sz w:val="24"/>
                <w:szCs w:val="24"/>
              </w:rPr>
            </w:pPr>
            <w:r>
              <w:rPr>
                <w:rFonts w:hint="eastAsia" w:ascii="华文中宋" w:hAnsi="华文中宋" w:eastAsia="华文中宋"/>
                <w:sz w:val="24"/>
                <w:szCs w:val="24"/>
              </w:rPr>
              <w:t>服务方支持根据招标方定义的特定关键字或关键字组合，发现并监测微信公众号、微信服务号、微信小程序、APP的资产及变化情况；支持识别资产内容包括但不限于：账号主体、资产类型、微信号、简介等；</w:t>
            </w:r>
          </w:p>
          <w:p>
            <w:pPr>
              <w:numPr>
                <w:ilvl w:val="0"/>
                <w:numId w:val="3"/>
              </w:numPr>
              <w:spacing w:line="440" w:lineRule="exact"/>
              <w:ind w:left="420" w:hanging="420"/>
              <w:rPr>
                <w:rFonts w:ascii="华文中宋" w:hAnsi="华文中宋" w:eastAsia="华文中宋"/>
                <w:sz w:val="24"/>
                <w:szCs w:val="24"/>
              </w:rPr>
            </w:pPr>
            <w:r>
              <w:rPr>
                <w:rFonts w:hint="eastAsia" w:ascii="华文中宋" w:hAnsi="华文中宋" w:eastAsia="华文中宋"/>
                <w:sz w:val="24"/>
                <w:szCs w:val="24"/>
              </w:rPr>
              <w:t>服务方支持基于指纹从网络侧发起主动扫描识别漏洞，漏洞类型包括但不限于：Web/应用漏洞、中间件/常用软件漏洞、数据库漏洞、系统漏洞、云类型（容器、虚拟化、云原生等）、设备型漏洞等；</w:t>
            </w:r>
          </w:p>
          <w:p>
            <w:pPr>
              <w:numPr>
                <w:ilvl w:val="0"/>
                <w:numId w:val="3"/>
              </w:numPr>
              <w:spacing w:line="440" w:lineRule="exact"/>
              <w:ind w:left="420" w:hanging="420"/>
              <w:rPr>
                <w:rFonts w:ascii="华文中宋" w:hAnsi="华文中宋" w:eastAsia="华文中宋"/>
                <w:sz w:val="24"/>
                <w:szCs w:val="24"/>
              </w:rPr>
            </w:pPr>
            <w:r>
              <w:rPr>
                <w:rFonts w:hint="eastAsia" w:ascii="华文中宋" w:hAnsi="华文中宋" w:eastAsia="华文中宋"/>
                <w:sz w:val="24"/>
                <w:szCs w:val="24"/>
              </w:rPr>
              <w:t>服务方支持基于暴露面检测的结果，针对互联网资产进行PoC漏洞扫描；PoC漏洞类型包含但不限于：未授权访问漏洞、数据库弱口令、远程登录协议弱口令、远程代码执行漏洞、SQL注入、敏感信息泄露漏洞、文件上传漏洞等；</w:t>
            </w:r>
          </w:p>
          <w:p>
            <w:pPr>
              <w:numPr>
                <w:ilvl w:val="0"/>
                <w:numId w:val="3"/>
              </w:numPr>
              <w:spacing w:line="440" w:lineRule="exact"/>
              <w:ind w:left="420" w:hanging="420"/>
              <w:rPr>
                <w:rFonts w:ascii="华文中宋" w:hAnsi="华文中宋" w:eastAsia="华文中宋"/>
                <w:sz w:val="24"/>
                <w:szCs w:val="24"/>
              </w:rPr>
            </w:pPr>
            <w:r>
              <w:rPr>
                <w:rFonts w:hint="eastAsia" w:ascii="华文中宋" w:hAnsi="华文中宋" w:eastAsia="华文中宋"/>
                <w:sz w:val="24"/>
                <w:szCs w:val="24"/>
              </w:rPr>
              <w:t>服务方兼容CNNVD、NVD、CVE等国内外漏洞库，支持对基于资产探测到的组件、应用、中间件的版本进行漏洞检测；</w:t>
            </w:r>
          </w:p>
          <w:p>
            <w:pPr>
              <w:numPr>
                <w:ilvl w:val="0"/>
                <w:numId w:val="3"/>
              </w:numPr>
              <w:spacing w:line="440" w:lineRule="exact"/>
              <w:ind w:left="420" w:hanging="420"/>
              <w:rPr>
                <w:rFonts w:ascii="华文中宋" w:hAnsi="华文中宋" w:eastAsia="华文中宋"/>
                <w:sz w:val="24"/>
                <w:szCs w:val="24"/>
              </w:rPr>
            </w:pPr>
            <w:r>
              <w:rPr>
                <w:rFonts w:hint="eastAsia" w:ascii="华文中宋" w:hAnsi="华文中宋" w:eastAsia="华文中宋"/>
                <w:sz w:val="24"/>
                <w:szCs w:val="24"/>
              </w:rPr>
              <w:t>服务方能够根据招标方定义的关键字或关键字组合，对Telegram等黑客活跃的即时通讯软件进行监测，用于发现服务方相关的黑产舆情事件。</w:t>
            </w:r>
          </w:p>
          <w:p>
            <w:pPr>
              <w:numPr>
                <w:ilvl w:val="0"/>
                <w:numId w:val="3"/>
              </w:numPr>
              <w:spacing w:line="440" w:lineRule="exact"/>
              <w:ind w:left="420" w:hanging="420"/>
              <w:rPr>
                <w:rFonts w:ascii="华文中宋" w:hAnsi="华文中宋" w:eastAsia="华文中宋"/>
                <w:sz w:val="24"/>
                <w:szCs w:val="24"/>
              </w:rPr>
            </w:pPr>
            <w:r>
              <w:rPr>
                <w:rFonts w:hint="eastAsia" w:ascii="华文中宋" w:hAnsi="华文中宋" w:eastAsia="华文中宋"/>
                <w:sz w:val="24"/>
                <w:szCs w:val="24"/>
              </w:rPr>
              <w:t>服务方能够根据招标方定义的关键字或关键字组合，对GitHub、Gitee等国内外主要开源社区、代码托管平台进行监测，并分析判断是否存在招标方相关敏感信息，如代码/证书文件/测试数据/通讯录等；</w:t>
            </w:r>
          </w:p>
          <w:p>
            <w:pPr>
              <w:numPr>
                <w:ilvl w:val="0"/>
                <w:numId w:val="3"/>
              </w:numPr>
              <w:spacing w:line="440" w:lineRule="exact"/>
              <w:ind w:left="420" w:hanging="420"/>
              <w:rPr>
                <w:rFonts w:ascii="华文中宋" w:hAnsi="华文中宋" w:eastAsia="华文中宋"/>
                <w:sz w:val="24"/>
                <w:szCs w:val="24"/>
              </w:rPr>
            </w:pPr>
            <w:r>
              <w:rPr>
                <w:rFonts w:hint="eastAsia" w:ascii="华文中宋" w:hAnsi="华文中宋" w:eastAsia="华文中宋"/>
                <w:sz w:val="24"/>
                <w:szCs w:val="24"/>
              </w:rPr>
              <w:t>暗网泄露事件：支持面向招标方检出暗网事件的展示，主要从暗网交易标题、暗网卖家ID、发帖事件、交易链接、交易内容等维度展示出当前招标方泄露的暗网事件信息，使得招标方能直观了解到当前泄露的暗网事件情况。</w:t>
            </w:r>
          </w:p>
          <w:p>
            <w:pPr>
              <w:numPr>
                <w:ilvl w:val="0"/>
                <w:numId w:val="3"/>
              </w:numPr>
              <w:spacing w:line="440" w:lineRule="exact"/>
              <w:ind w:left="420" w:hanging="420"/>
              <w:rPr>
                <w:rFonts w:ascii="华文中宋" w:hAnsi="华文中宋" w:eastAsia="华文中宋"/>
                <w:sz w:val="24"/>
                <w:szCs w:val="24"/>
              </w:rPr>
            </w:pPr>
            <w:r>
              <w:rPr>
                <w:rFonts w:hint="eastAsia" w:ascii="华文中宋" w:hAnsi="华文中宋" w:eastAsia="华文中宋"/>
                <w:sz w:val="24"/>
                <w:szCs w:val="24"/>
              </w:rPr>
              <w:t>代码泄露事件：支持面向招标方检出代码泄露事件的展示，主要从代码项目名称、代码链接、命中关键字、关键字代码片段等维度精准定位到当前招标方泄露的代码信息，使得招标方能直观了解到当前泄露的代码事件情况</w:t>
            </w:r>
          </w:p>
          <w:p>
            <w:pPr>
              <w:numPr>
                <w:ilvl w:val="0"/>
                <w:numId w:val="3"/>
              </w:numPr>
              <w:spacing w:line="440" w:lineRule="exact"/>
              <w:ind w:left="420" w:hanging="420"/>
              <w:rPr>
                <w:rFonts w:ascii="华文中宋" w:hAnsi="华文中宋" w:eastAsia="华文中宋"/>
                <w:sz w:val="24"/>
                <w:szCs w:val="24"/>
              </w:rPr>
            </w:pPr>
            <w:r>
              <w:rPr>
                <w:rFonts w:hint="eastAsia" w:ascii="华文中宋" w:hAnsi="华文中宋" w:eastAsia="华文中宋"/>
                <w:sz w:val="24"/>
                <w:szCs w:val="24"/>
              </w:rPr>
              <w:t>黑产舆情事件：支持面向招标方检出黑产舆情事件的展示，主要从黑产论坛网站、涉及舆情群组、发布时间、黑产舆情内容等维度精准定位到当前涉及招标方黑产舆情相关信息，使得招标方能直观了解到当前存在的黑产舆情事件的情况。</w:t>
            </w:r>
          </w:p>
          <w:p>
            <w:pPr>
              <w:spacing w:line="440" w:lineRule="exact"/>
              <w:rPr>
                <w:rFonts w:ascii="华文中宋" w:hAnsi="华文中宋" w:eastAsia="华文中宋"/>
                <w:b/>
                <w:bCs/>
                <w:sz w:val="24"/>
                <w:szCs w:val="24"/>
              </w:rPr>
            </w:pPr>
            <w:r>
              <w:rPr>
                <w:rFonts w:hint="eastAsia" w:ascii="华文中宋" w:hAnsi="华文中宋" w:eastAsia="华文中宋"/>
                <w:sz w:val="24"/>
                <w:szCs w:val="24"/>
              </w:rPr>
              <w:t>交</w:t>
            </w:r>
            <w:r>
              <w:rPr>
                <w:rFonts w:hint="eastAsia" w:ascii="华文中宋" w:hAnsi="华文中宋" w:eastAsia="华文中宋"/>
                <w:b/>
                <w:bCs/>
                <w:sz w:val="24"/>
                <w:szCs w:val="24"/>
              </w:rPr>
              <w:t>付物：《外部攻击面管理服务报告》。</w:t>
            </w:r>
          </w:p>
          <w:p>
            <w:pPr>
              <w:spacing w:line="440" w:lineRule="exact"/>
              <w:rPr>
                <w:rFonts w:ascii="华文中宋" w:hAnsi="华文中宋" w:eastAsia="华文中宋"/>
                <w:sz w:val="24"/>
                <w:szCs w:val="24"/>
              </w:rPr>
            </w:pPr>
            <w:r>
              <w:rPr>
                <w:rFonts w:hint="eastAsia" w:ascii="华文中宋" w:hAnsi="华文中宋" w:eastAsia="华文中宋"/>
                <w:b/>
                <w:bCs/>
                <w:sz w:val="24"/>
                <w:szCs w:val="24"/>
              </w:rPr>
              <w:t>服务频次：1次。</w:t>
            </w:r>
          </w:p>
        </w:tc>
        <w:tc>
          <w:tcPr>
            <w:tcW w:w="821" w:type="dxa"/>
            <w:vMerge w:val="continue"/>
          </w:tcPr>
          <w:p>
            <w:pPr>
              <w:spacing w:line="440" w:lineRule="exact"/>
              <w:rPr>
                <w:rFonts w:ascii="华文中宋" w:hAnsi="华文中宋" w:eastAsia="华文中宋"/>
                <w:sz w:val="24"/>
                <w:szCs w:val="24"/>
              </w:rPr>
            </w:pPr>
          </w:p>
        </w:tc>
      </w:tr>
    </w:tbl>
    <w:p/>
    <w:p>
      <w:bookmarkStart w:id="9" w:name="_Toc381105409"/>
      <w:bookmarkStart w:id="10" w:name="_Toc32626"/>
      <w:r>
        <w:rPr>
          <w:rFonts w:hint="eastAsia" w:ascii="华文中宋" w:hAnsi="华文中宋" w:eastAsia="华文中宋" w:cs="华文中宋"/>
          <w:b/>
          <w:bCs/>
          <w:kern w:val="2"/>
          <w:sz w:val="28"/>
          <w:szCs w:val="28"/>
          <w:lang w:val="en-US" w:eastAsia="zh-CN" w:bidi="ar-SA"/>
        </w:rPr>
        <w:t>注:以上技术要求全部为实质性要求，供应商须全部响应或优于。</w:t>
      </w:r>
      <w:bookmarkEnd w:id="9"/>
      <w:bookmarkEnd w:id="10"/>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3B1E43"/>
    <w:multiLevelType w:val="singleLevel"/>
    <w:tmpl w:val="FC3B1E43"/>
    <w:lvl w:ilvl="0" w:tentative="0">
      <w:start w:val="1"/>
      <w:numFmt w:val="bullet"/>
      <w:lvlText w:val=""/>
      <w:lvlJc w:val="left"/>
      <w:pPr>
        <w:ind w:left="420" w:hanging="420"/>
      </w:pPr>
      <w:rPr>
        <w:rFonts w:hint="default" w:ascii="Wingdings" w:hAnsi="Wingdings"/>
      </w:rPr>
    </w:lvl>
  </w:abstractNum>
  <w:abstractNum w:abstractNumId="1">
    <w:nsid w:val="0E5513C4"/>
    <w:multiLevelType w:val="multilevel"/>
    <w:tmpl w:val="0E5513C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2B14BC0"/>
    <w:multiLevelType w:val="multilevel"/>
    <w:tmpl w:val="42B14BC0"/>
    <w:lvl w:ilvl="0" w:tentative="0">
      <w:start w:val="1"/>
      <w:numFmt w:val="decimal"/>
      <w:lvlText w:val="%1、"/>
      <w:lvlJc w:val="left"/>
      <w:pPr>
        <w:ind w:left="540" w:hanging="420"/>
      </w:pPr>
      <w:rPr>
        <w:rFonts w:hint="eastAsia"/>
      </w:rPr>
    </w:lvl>
    <w:lvl w:ilvl="1" w:tentative="0">
      <w:start w:val="1"/>
      <w:numFmt w:val="decimal"/>
      <w:lvlText w:val="%2、"/>
      <w:lvlJc w:val="left"/>
      <w:pPr>
        <w:ind w:left="960" w:hanging="420"/>
      </w:pPr>
      <w:rPr>
        <w:rFonts w:hint="eastAsia"/>
      </w:r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3">
    <w:nsid w:val="5A137CF2"/>
    <w:multiLevelType w:val="singleLevel"/>
    <w:tmpl w:val="5A137CF2"/>
    <w:lvl w:ilvl="0" w:tentative="0">
      <w:start w:val="1"/>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YjA3YjdiMDE5YjQ1ZThhMGJiMTA0YTE3YTlhOTQifQ=="/>
  </w:docVars>
  <w:rsids>
    <w:rsidRoot w:val="414549BA"/>
    <w:rsid w:val="11081560"/>
    <w:rsid w:val="41454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6"/>
    <w:semiHidden/>
    <w:unhideWhenUsed/>
    <w:qFormat/>
    <w:uiPriority w:val="0"/>
    <w:pPr>
      <w:keepNext/>
      <w:keepLines/>
      <w:spacing w:before="260" w:after="260" w:line="413"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99"/>
    <w:pPr>
      <w:spacing w:after="120"/>
    </w:pPr>
  </w:style>
  <w:style w:type="character" w:customStyle="1" w:styleId="6">
    <w:name w:val="标题 2 Char"/>
    <w:link w:val="2"/>
    <w:qFormat/>
    <w:uiPriority w:val="0"/>
    <w:rPr>
      <w:rFonts w:ascii="Arial" w:hAnsi="Arial" w:eastAsia="黑体"/>
      <w:b/>
      <w:bCs/>
      <w:kern w:val="2"/>
      <w:sz w:val="32"/>
      <w:szCs w:val="32"/>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2024-05-31T09:26:00Z</dcterms:created>
  <dc:creator>Adolf</dc:creator>
  <cp:lastModifiedBy>Adolf</cp:lastModifiedBy>
  <dcterms:modified xsi:type="dcterms:W3CDTF">2024-05-31T09:27:07Z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AD5E3C43C6C743A385391619E58C183C_11</vt:lpwstr>
  </property>
</Properties>
</file>