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numPr>
          <w:ilvl w:val="0"/>
          <w:numId w:val="1"/>
        </w:numPr>
        <w:spacing w:before="0" w:after="0" w:line="460" w:lineRule="exact"/>
        <w:jc w:val="center"/>
        <w:outlineLvl w:val="1"/>
        <w:rPr>
          <w:rFonts w:ascii="华文中宋" w:hAnsi="华文中宋" w:eastAsia="华文中宋" w:cs="华文中宋"/>
          <w:b/>
          <w:bCs/>
          <w:kern w:val="2"/>
          <w:sz w:val="28"/>
          <w:szCs w:val="28"/>
          <w:highlight w:val="white"/>
          <w:lang w:val="en-US" w:eastAsia="zh-CN" w:bidi="ar-SA"/>
        </w:rPr>
      </w:pPr>
      <w:bookmarkStart w:id="0" w:name="_Toc376848274"/>
      <w:bookmarkStart w:id="1" w:name="_Toc293934837"/>
      <w:bookmarkStart w:id="2" w:name="_Toc97485482"/>
      <w:bookmarkStart w:id="3" w:name="_Toc15920"/>
      <w:bookmarkStart w:id="4" w:name="_Toc126581036"/>
      <w:bookmarkStart w:id="5" w:name="_Toc161665215"/>
      <w:r>
        <w:rPr>
          <w:rFonts w:hint="eastAsia" w:ascii="华文中宋" w:hAnsi="华文中宋" w:eastAsia="华文中宋" w:cs="华文中宋"/>
          <w:b/>
          <w:bCs/>
          <w:kern w:val="2"/>
          <w:sz w:val="28"/>
          <w:szCs w:val="28"/>
          <w:highlight w:val="white"/>
          <w:lang w:val="en-US" w:eastAsia="zh-CN" w:bidi="ar-SA"/>
        </w:rPr>
        <w:t>采购</w:t>
      </w:r>
      <w:bookmarkEnd w:id="0"/>
      <w:bookmarkEnd w:id="1"/>
      <w:bookmarkEnd w:id="2"/>
      <w:r>
        <w:rPr>
          <w:rFonts w:hint="eastAsia" w:ascii="华文中宋" w:hAnsi="华文中宋" w:eastAsia="华文中宋" w:cs="华文中宋"/>
          <w:b/>
          <w:bCs/>
          <w:kern w:val="2"/>
          <w:sz w:val="28"/>
          <w:szCs w:val="28"/>
          <w:highlight w:val="white"/>
          <w:lang w:val="en-US" w:eastAsia="zh-CN" w:bidi="ar-SA"/>
        </w:rPr>
        <w:t>需求</w:t>
      </w:r>
      <w:bookmarkEnd w:id="3"/>
      <w:bookmarkEnd w:id="4"/>
      <w:r>
        <w:rPr>
          <w:rFonts w:hint="eastAsia" w:ascii="华文中宋" w:hAnsi="华文中宋" w:eastAsia="华文中宋" w:cs="华文中宋"/>
          <w:b/>
          <w:bCs/>
          <w:kern w:val="2"/>
          <w:sz w:val="28"/>
          <w:szCs w:val="28"/>
          <w:highlight w:val="white"/>
          <w:lang w:val="en-US" w:eastAsia="zh-CN" w:bidi="ar-SA"/>
        </w:rPr>
        <w:t>一览表</w:t>
      </w:r>
      <w:bookmarkEnd w:id="5"/>
    </w:p>
    <w:tbl>
      <w:tblPr>
        <w:tblStyle w:val="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8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501" w:type="dxa"/>
            <w:tcBorders>
              <w:top w:val="single" w:color="auto" w:sz="12" w:space="0"/>
              <w:lef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项目名称</w:t>
            </w:r>
          </w:p>
        </w:tc>
        <w:tc>
          <w:tcPr>
            <w:tcW w:w="8069" w:type="dxa"/>
            <w:tcBorders>
              <w:top w:val="single" w:color="auto" w:sz="12" w:space="0"/>
              <w:right w:val="single" w:color="auto" w:sz="12" w:space="0"/>
            </w:tcBorders>
            <w:vAlign w:val="center"/>
          </w:tcPr>
          <w:p>
            <w:pPr>
              <w:jc w:val="center"/>
              <w:rPr>
                <w:rFonts w:ascii="华文中宋" w:hAnsi="华文中宋" w:eastAsia="华文中宋" w:cs="黑体"/>
                <w:b/>
                <w:color w:val="000000"/>
                <w:sz w:val="48"/>
                <w:szCs w:val="48"/>
                <w:u w:val="thick" w:color="632423"/>
              </w:rPr>
            </w:pPr>
            <w:r>
              <w:rPr>
                <w:rFonts w:hint="eastAsia" w:ascii="华文中宋" w:hAnsi="华文中宋" w:eastAsia="华文中宋" w:cs="华文中宋"/>
                <w:color w:val="000000"/>
                <w:sz w:val="24"/>
                <w:szCs w:val="24"/>
              </w:rPr>
              <w:t>江西旅游商贸职业学院现教中心校园网出口带宽采购项目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01" w:type="dxa"/>
            <w:tcBorders>
              <w:lef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数量（单位）</w:t>
            </w:r>
          </w:p>
        </w:tc>
        <w:tc>
          <w:tcPr>
            <w:tcW w:w="8069" w:type="dxa"/>
            <w:tcBorders>
              <w:righ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501" w:type="dxa"/>
            <w:tcBorders>
              <w:left w:val="single" w:color="auto" w:sz="12" w:space="0"/>
            </w:tcBorders>
            <w:vAlign w:val="center"/>
          </w:tcPr>
          <w:p>
            <w:pPr>
              <w:spacing w:line="440" w:lineRule="exact"/>
              <w:jc w:val="center"/>
              <w:rPr>
                <w:sz w:val="24"/>
                <w:szCs w:val="24"/>
              </w:rPr>
            </w:pPr>
            <w:r>
              <w:rPr>
                <w:rFonts w:hint="eastAsia" w:ascii="华文中宋" w:hAnsi="华文中宋" w:eastAsia="华文中宋" w:cs="黑体"/>
                <w:sz w:val="24"/>
                <w:szCs w:val="24"/>
              </w:rPr>
              <w:t>宽带接入服务提供时间</w:t>
            </w:r>
          </w:p>
        </w:tc>
        <w:tc>
          <w:tcPr>
            <w:tcW w:w="8069" w:type="dxa"/>
            <w:tcBorders>
              <w:right w:val="single" w:color="auto" w:sz="12" w:space="0"/>
            </w:tcBorders>
            <w:vAlign w:val="center"/>
          </w:tcPr>
          <w:p>
            <w:pPr>
              <w:jc w:val="center"/>
              <w:rPr>
                <w:rFonts w:ascii="华文中宋" w:hAnsi="华文中宋" w:eastAsia="华文中宋"/>
                <w:sz w:val="24"/>
              </w:rPr>
            </w:pPr>
            <w:r>
              <w:rPr>
                <w:rFonts w:hint="eastAsia" w:ascii="华文中宋" w:hAnsi="华文中宋" w:eastAsia="华文中宋" w:cs="黑体"/>
                <w:sz w:val="24"/>
                <w:szCs w:val="24"/>
              </w:rPr>
              <w:t>详见第五章采购需求 三、商务要求。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01" w:type="dxa"/>
            <w:tcBorders>
              <w:left w:val="single" w:color="auto" w:sz="12" w:space="0"/>
            </w:tcBorders>
            <w:vAlign w:val="center"/>
          </w:tcPr>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项目实施</w:t>
            </w:r>
          </w:p>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地点</w:t>
            </w:r>
          </w:p>
        </w:tc>
        <w:tc>
          <w:tcPr>
            <w:tcW w:w="8069" w:type="dxa"/>
            <w:tcBorders>
              <w:right w:val="single" w:color="auto" w:sz="12" w:space="0"/>
            </w:tcBorders>
            <w:vAlign w:val="center"/>
          </w:tcPr>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1501" w:type="dxa"/>
            <w:tcBorders>
              <w:lef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备注</w:t>
            </w:r>
          </w:p>
        </w:tc>
        <w:tc>
          <w:tcPr>
            <w:tcW w:w="8069" w:type="dxa"/>
            <w:tcBorders>
              <w:right w:val="single" w:color="auto" w:sz="12" w:space="0"/>
            </w:tcBorders>
            <w:vAlign w:val="center"/>
          </w:tcPr>
          <w:p>
            <w:pPr>
              <w:spacing w:line="360" w:lineRule="auto"/>
              <w:ind w:firstLine="482" w:firstLineChars="201"/>
              <w:jc w:val="left"/>
            </w:pPr>
            <w:r>
              <w:rPr>
                <w:rFonts w:hint="eastAsia" w:ascii="华文中宋" w:hAnsi="华文中宋" w:eastAsia="华文中宋" w:cs="黑体"/>
                <w:sz w:val="24"/>
              </w:rPr>
              <w:t>本采购项目中所发生的一切费用均应包含在报价总价中。包括服务中培训辅导、售后服务、全额含税发票、雇员费用、合同实施过程中应预见和不可预见费用等，所有价格均应以人民币报价，全额单位为元。</w:t>
            </w:r>
          </w:p>
        </w:tc>
      </w:tr>
    </w:tbl>
    <w:p>
      <w:pPr>
        <w:widowControl w:val="0"/>
        <w:spacing w:after="120"/>
        <w:jc w:val="both"/>
        <w:rPr>
          <w:rFonts w:ascii="Times New Roman" w:hAnsi="Times New Roman" w:eastAsia="宋体" w:cs="Times New Roman"/>
          <w:kern w:val="2"/>
          <w:sz w:val="21"/>
          <w:lang w:val="en-US" w:eastAsia="zh-CN" w:bidi="ar-SA"/>
        </w:rPr>
      </w:pPr>
    </w:p>
    <w:p>
      <w:r>
        <w:br w:type="page"/>
      </w:r>
    </w:p>
    <w:p>
      <w:pPr>
        <w:widowControl w:val="0"/>
        <w:spacing w:after="120"/>
        <w:jc w:val="both"/>
        <w:rPr>
          <w:rFonts w:ascii="Times New Roman" w:hAnsi="Times New Roman" w:eastAsia="宋体" w:cs="Times New Roman"/>
          <w:kern w:val="2"/>
          <w:sz w:val="21"/>
          <w:lang w:val="en-US" w:eastAsia="zh-CN" w:bidi="ar-SA"/>
        </w:rPr>
      </w:pPr>
    </w:p>
    <w:p>
      <w:pPr>
        <w:keepNext/>
        <w:keepLines/>
        <w:widowControl w:val="0"/>
        <w:numPr>
          <w:ilvl w:val="0"/>
          <w:numId w:val="1"/>
        </w:numPr>
        <w:spacing w:before="0" w:after="0" w:line="460" w:lineRule="exact"/>
        <w:jc w:val="center"/>
        <w:outlineLvl w:val="1"/>
        <w:rPr>
          <w:rFonts w:ascii="华文中宋" w:hAnsi="华文中宋" w:eastAsia="华文中宋" w:cs="华文中宋"/>
          <w:b/>
          <w:bCs/>
          <w:kern w:val="2"/>
          <w:sz w:val="28"/>
          <w:szCs w:val="28"/>
          <w:highlight w:val="white"/>
          <w:lang w:val="en-US" w:eastAsia="zh-CN" w:bidi="ar-SA"/>
        </w:rPr>
      </w:pPr>
      <w:r>
        <w:rPr>
          <w:rFonts w:hint="eastAsia" w:ascii="华文中宋" w:hAnsi="华文中宋" w:eastAsia="华文中宋" w:cs="华文中宋"/>
          <w:b/>
          <w:bCs/>
          <w:kern w:val="2"/>
          <w:sz w:val="28"/>
          <w:szCs w:val="28"/>
          <w:highlight w:val="white"/>
          <w:lang w:val="en-US" w:eastAsia="zh-CN" w:bidi="ar-SA"/>
        </w:rPr>
        <w:t>技术标准及要求</w:t>
      </w:r>
    </w:p>
    <w:p>
      <w:pPr>
        <w:widowControl w:val="0"/>
        <w:spacing w:after="120" w:line="240" w:lineRule="exact"/>
        <w:jc w:val="both"/>
        <w:rPr>
          <w:rFonts w:ascii="华文中宋" w:hAnsi="华文中宋" w:eastAsia="华文中宋" w:cs="Times New Roman"/>
          <w:kern w:val="2"/>
          <w:sz w:val="24"/>
          <w:lang w:val="en-US" w:eastAsia="zh-CN" w:bidi="ar-SA"/>
        </w:rPr>
      </w:pPr>
    </w:p>
    <w:p>
      <w:pPr>
        <w:spacing w:line="440" w:lineRule="exact"/>
        <w:ind w:firstLine="480" w:firstLineChars="200"/>
        <w:jc w:val="left"/>
        <w:rPr>
          <w:rFonts w:ascii="华文中宋" w:hAnsi="华文中宋" w:eastAsia="华文中宋"/>
          <w:b/>
          <w:sz w:val="24"/>
        </w:rPr>
      </w:pPr>
      <w:r>
        <w:rPr>
          <w:rFonts w:hint="eastAsia" w:ascii="华文中宋" w:hAnsi="华文中宋" w:eastAsia="华文中宋"/>
          <w:b/>
          <w:sz w:val="24"/>
        </w:rPr>
        <w:t>（一）项目背景</w:t>
      </w:r>
    </w:p>
    <w:p>
      <w:pPr>
        <w:spacing w:line="440" w:lineRule="exact"/>
        <w:ind w:firstLine="991" w:firstLineChars="413"/>
        <w:jc w:val="left"/>
        <w:rPr>
          <w:rFonts w:ascii="华文中宋" w:hAnsi="华文中宋" w:eastAsia="华文中宋"/>
          <w:sz w:val="24"/>
        </w:rPr>
      </w:pPr>
      <w:bookmarkStart w:id="6" w:name="_Toc96075513"/>
      <w:r>
        <w:rPr>
          <w:rFonts w:ascii="华文中宋" w:hAnsi="华文中宋" w:eastAsia="华文中宋"/>
          <w:sz w:val="24"/>
        </w:rPr>
        <w:t>为保证学校教学</w:t>
      </w:r>
      <w:r>
        <w:rPr>
          <w:rFonts w:hint="eastAsia" w:ascii="华文中宋" w:hAnsi="华文中宋" w:eastAsia="华文中宋"/>
          <w:sz w:val="24"/>
        </w:rPr>
        <w:t>、科研</w:t>
      </w:r>
      <w:r>
        <w:rPr>
          <w:rFonts w:ascii="华文中宋" w:hAnsi="华文中宋" w:eastAsia="华文中宋"/>
          <w:sz w:val="24"/>
        </w:rPr>
        <w:t>和管理的网络使用需求，现需租用校园网出口带宽</w:t>
      </w:r>
      <w:r>
        <w:rPr>
          <w:rFonts w:hint="eastAsia" w:ascii="华文中宋" w:hAnsi="华文中宋" w:eastAsia="华文中宋"/>
          <w:sz w:val="24"/>
        </w:rPr>
        <w:t>服务</w:t>
      </w:r>
      <w:r>
        <w:rPr>
          <w:rFonts w:ascii="华文中宋" w:hAnsi="华文中宋" w:eastAsia="华文中宋"/>
          <w:sz w:val="24"/>
        </w:rPr>
        <w:t>。</w:t>
      </w:r>
      <w:bookmarkEnd w:id="6"/>
    </w:p>
    <w:p>
      <w:pPr>
        <w:spacing w:line="440" w:lineRule="exact"/>
        <w:ind w:firstLine="480" w:firstLineChars="200"/>
        <w:jc w:val="left"/>
        <w:rPr>
          <w:rFonts w:ascii="华文中宋" w:hAnsi="华文中宋" w:eastAsia="华文中宋"/>
          <w:b/>
          <w:sz w:val="24"/>
        </w:rPr>
      </w:pPr>
      <w:r>
        <w:rPr>
          <w:rFonts w:hint="eastAsia" w:ascii="华文中宋" w:hAnsi="华文中宋" w:eastAsia="华文中宋"/>
          <w:b/>
          <w:sz w:val="24"/>
        </w:rPr>
        <w:t>（二）服务内容及需求</w:t>
      </w:r>
    </w:p>
    <w:p>
      <w:pPr>
        <w:spacing w:line="440" w:lineRule="exact"/>
        <w:ind w:firstLine="991" w:firstLineChars="413"/>
        <w:jc w:val="left"/>
        <w:rPr>
          <w:rFonts w:ascii="华文中宋" w:hAnsi="华文中宋" w:eastAsia="华文中宋"/>
          <w:sz w:val="24"/>
        </w:rPr>
      </w:pPr>
      <w:r>
        <w:rPr>
          <w:rFonts w:hint="eastAsia" w:ascii="华文中宋" w:hAnsi="华文中宋" w:eastAsia="华文中宋"/>
          <w:sz w:val="24"/>
        </w:rPr>
        <w:t>1、从江西旅游商贸职业学院上联至【CERNET节点  南昌大学】网络中心：</w:t>
      </w:r>
    </w:p>
    <w:p>
      <w:pPr>
        <w:spacing w:line="440" w:lineRule="exact"/>
        <w:ind w:firstLine="1274" w:firstLineChars="531"/>
        <w:jc w:val="left"/>
        <w:rPr>
          <w:rFonts w:ascii="华文中宋" w:hAnsi="华文中宋" w:eastAsia="华文中宋"/>
          <w:sz w:val="24"/>
        </w:rPr>
      </w:pPr>
      <w:r>
        <w:rPr>
          <w:rFonts w:hint="eastAsia" w:ascii="华文中宋" w:hAnsi="华文中宋" w:eastAsia="华文中宋"/>
          <w:sz w:val="24"/>
        </w:rPr>
        <w:t>（1）IPV4国内带宽包月【100M】；</w:t>
      </w:r>
    </w:p>
    <w:p>
      <w:pPr>
        <w:spacing w:line="440" w:lineRule="exact"/>
        <w:ind w:firstLine="1274" w:firstLineChars="531"/>
        <w:jc w:val="left"/>
        <w:rPr>
          <w:rFonts w:ascii="华文中宋" w:hAnsi="华文中宋" w:eastAsia="华文中宋"/>
          <w:sz w:val="24"/>
        </w:rPr>
      </w:pPr>
      <w:r>
        <w:rPr>
          <w:rFonts w:hint="eastAsia" w:ascii="华文中宋" w:hAnsi="华文中宋" w:eastAsia="华文中宋"/>
          <w:sz w:val="24"/>
        </w:rPr>
        <w:t>（2）IPV4地址优惠配额【 256 个（1个C）】。</w:t>
      </w:r>
    </w:p>
    <w:p>
      <w:pPr>
        <w:spacing w:line="440" w:lineRule="exact"/>
        <w:ind w:left="567" w:leftChars="270" w:firstLine="422" w:firstLineChars="176"/>
        <w:jc w:val="left"/>
        <w:rPr>
          <w:rFonts w:ascii="华文中宋" w:hAnsi="华文中宋" w:eastAsia="华文中宋"/>
          <w:sz w:val="24"/>
        </w:rPr>
      </w:pPr>
      <w:r>
        <w:rPr>
          <w:rFonts w:hint="eastAsia" w:ascii="华文中宋" w:hAnsi="华文中宋" w:eastAsia="华文中宋"/>
          <w:sz w:val="24"/>
        </w:rPr>
        <w:t>2、供应商向采购方提供CNGI-CERNET2接入服务，从【江西旅游商贸职业学院】上联至【南昌大学】网络中心，主要内容包括：</w:t>
      </w:r>
    </w:p>
    <w:p>
      <w:pPr>
        <w:spacing w:line="440" w:lineRule="exact"/>
        <w:ind w:left="567" w:leftChars="270" w:firstLine="705" w:firstLineChars="294"/>
        <w:jc w:val="left"/>
        <w:rPr>
          <w:rFonts w:ascii="华文中宋" w:hAnsi="华文中宋" w:eastAsia="华文中宋"/>
          <w:sz w:val="24"/>
        </w:rPr>
      </w:pPr>
      <w:r>
        <w:rPr>
          <w:rFonts w:hint="eastAsia" w:ascii="华文中宋" w:hAnsi="华文中宋" w:eastAsia="华文中宋"/>
          <w:sz w:val="24"/>
        </w:rPr>
        <w:t>（1）提供100M免费带宽包月通信服务（如果CNGI-CERNET2商用，则停止免费服务）；</w:t>
      </w:r>
    </w:p>
    <w:p>
      <w:pPr>
        <w:spacing w:line="440" w:lineRule="exact"/>
        <w:ind w:left="567" w:leftChars="270" w:firstLine="705" w:firstLineChars="294"/>
        <w:jc w:val="left"/>
        <w:rPr>
          <w:rFonts w:ascii="华文中宋" w:hAnsi="华文中宋" w:eastAsia="华文中宋"/>
          <w:sz w:val="24"/>
        </w:rPr>
      </w:pPr>
      <w:r>
        <w:rPr>
          <w:rFonts w:hint="eastAsia" w:ascii="华文中宋" w:hAnsi="华文中宋" w:eastAsia="华文中宋"/>
          <w:sz w:val="24"/>
        </w:rPr>
        <w:t>（2）子网前缀48位的IPV6地址一组。</w:t>
      </w:r>
    </w:p>
    <w:p>
      <w:pPr>
        <w:spacing w:line="440" w:lineRule="exact"/>
        <w:ind w:left="567" w:leftChars="270" w:firstLine="423" w:firstLineChars="176"/>
        <w:jc w:val="left"/>
        <w:rPr>
          <w:rFonts w:ascii="华文中宋" w:hAnsi="华文中宋" w:eastAsia="华文中宋"/>
          <w:b/>
          <w:sz w:val="24"/>
        </w:rPr>
      </w:pPr>
      <w:r>
        <w:rPr>
          <w:rFonts w:hint="eastAsia" w:ascii="华文中宋" w:hAnsi="华文中宋" w:eastAsia="华文中宋"/>
          <w:b/>
          <w:sz w:val="24"/>
        </w:rPr>
        <w:t>3、技术要求</w:t>
      </w:r>
    </w:p>
    <w:tbl>
      <w:tblPr>
        <w:tblStyle w:val="5"/>
        <w:tblW w:w="0" w:type="auto"/>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63"/>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4" w:type="dxa"/>
            <w:shd w:val="clear" w:color="auto" w:fill="auto"/>
            <w:noWrap/>
            <w:vAlign w:val="center"/>
          </w:tcPr>
          <w:p>
            <w:pPr>
              <w:spacing w:line="440" w:lineRule="exact"/>
              <w:jc w:val="center"/>
              <w:rPr>
                <w:rFonts w:ascii="华文中宋" w:hAnsi="华文中宋" w:eastAsia="华文中宋" w:cs="仿宋"/>
                <w:b/>
                <w:sz w:val="24"/>
              </w:rPr>
            </w:pPr>
            <w:r>
              <w:rPr>
                <w:rFonts w:hint="eastAsia" w:ascii="华文中宋" w:hAnsi="华文中宋" w:eastAsia="华文中宋" w:cs="仿宋"/>
                <w:b/>
                <w:sz w:val="24"/>
              </w:rPr>
              <w:t>序号</w:t>
            </w:r>
          </w:p>
        </w:tc>
        <w:tc>
          <w:tcPr>
            <w:tcW w:w="1559" w:type="dxa"/>
            <w:shd w:val="clear" w:color="auto" w:fill="auto"/>
            <w:noWrap/>
            <w:vAlign w:val="center"/>
          </w:tcPr>
          <w:p>
            <w:pPr>
              <w:spacing w:line="440" w:lineRule="exact"/>
              <w:jc w:val="center"/>
              <w:rPr>
                <w:rFonts w:ascii="华文中宋" w:hAnsi="华文中宋" w:eastAsia="华文中宋" w:cs="仿宋"/>
                <w:b/>
                <w:sz w:val="24"/>
              </w:rPr>
            </w:pPr>
            <w:r>
              <w:rPr>
                <w:rFonts w:hint="eastAsia" w:ascii="华文中宋" w:hAnsi="华文中宋" w:eastAsia="华文中宋" w:cs="仿宋"/>
                <w:b/>
                <w:sz w:val="24"/>
              </w:rPr>
              <w:t>指标项</w:t>
            </w:r>
          </w:p>
        </w:tc>
        <w:tc>
          <w:tcPr>
            <w:tcW w:w="6134" w:type="dxa"/>
            <w:shd w:val="clear" w:color="auto" w:fill="auto"/>
            <w:noWrap/>
            <w:vAlign w:val="center"/>
          </w:tcPr>
          <w:p>
            <w:pPr>
              <w:spacing w:line="440" w:lineRule="exact"/>
              <w:ind w:firstLine="480" w:firstLineChars="200"/>
              <w:jc w:val="center"/>
              <w:rPr>
                <w:rFonts w:ascii="华文中宋" w:hAnsi="华文中宋" w:eastAsia="华文中宋" w:cs="仿宋"/>
                <w:b/>
                <w:sz w:val="24"/>
              </w:rPr>
            </w:pPr>
            <w:r>
              <w:rPr>
                <w:rFonts w:hint="eastAsia" w:ascii="华文中宋" w:hAnsi="华文中宋" w:eastAsia="华文中宋" w:cs="仿宋"/>
                <w:b/>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1</w:t>
            </w:r>
          </w:p>
        </w:tc>
        <w:tc>
          <w:tcPr>
            <w:tcW w:w="1559"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速度</w:t>
            </w:r>
          </w:p>
        </w:tc>
        <w:tc>
          <w:tcPr>
            <w:tcW w:w="6134" w:type="dxa"/>
            <w:shd w:val="clear" w:color="auto" w:fill="auto"/>
            <w:noWrap/>
            <w:vAlign w:val="center"/>
          </w:tcPr>
          <w:p>
            <w:pPr>
              <w:spacing w:line="440" w:lineRule="exact"/>
              <w:jc w:val="left"/>
              <w:rPr>
                <w:rFonts w:ascii="华文中宋" w:hAnsi="华文中宋" w:eastAsia="华文中宋" w:cs="仿宋"/>
                <w:sz w:val="24"/>
              </w:rPr>
            </w:pPr>
            <w:r>
              <w:rPr>
                <w:rFonts w:hint="eastAsia" w:ascii="华文中宋" w:hAnsi="华文中宋" w:eastAsia="华文中宋" w:cs="仿宋"/>
                <w:sz w:val="24"/>
              </w:rPr>
              <w:t>100M速率的光纤宽带1条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2</w:t>
            </w:r>
          </w:p>
        </w:tc>
        <w:tc>
          <w:tcPr>
            <w:tcW w:w="1559"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丢包率</w:t>
            </w:r>
          </w:p>
        </w:tc>
        <w:tc>
          <w:tcPr>
            <w:tcW w:w="6134" w:type="dxa"/>
            <w:shd w:val="clear" w:color="auto" w:fill="auto"/>
            <w:noWrap/>
            <w:vAlign w:val="center"/>
          </w:tcPr>
          <w:p>
            <w:pPr>
              <w:spacing w:line="440" w:lineRule="exact"/>
              <w:jc w:val="left"/>
              <w:rPr>
                <w:rFonts w:ascii="华文中宋" w:hAnsi="华文中宋" w:eastAsia="华文中宋" w:cs="仿宋"/>
                <w:sz w:val="24"/>
              </w:rPr>
            </w:pPr>
            <w:r>
              <w:rPr>
                <w:rFonts w:hint="eastAsia" w:ascii="华文中宋" w:hAnsi="华文中宋" w:eastAsia="华文中宋" w:cs="仿宋"/>
                <w:sz w:val="24"/>
              </w:rPr>
              <w:t>指在24小时内以太网帧在客户设备之间传送过程中丢掉的帧数占总发送帧数的百分比。该指标暂定为≤1*10^5。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3</w:t>
            </w:r>
          </w:p>
        </w:tc>
        <w:tc>
          <w:tcPr>
            <w:tcW w:w="1559"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时延</w:t>
            </w:r>
          </w:p>
        </w:tc>
        <w:tc>
          <w:tcPr>
            <w:tcW w:w="6134" w:type="dxa"/>
            <w:shd w:val="clear" w:color="auto" w:fill="auto"/>
            <w:noWrap/>
            <w:vAlign w:val="center"/>
          </w:tcPr>
          <w:p>
            <w:pPr>
              <w:spacing w:line="440" w:lineRule="exact"/>
              <w:jc w:val="left"/>
              <w:rPr>
                <w:rFonts w:ascii="华文中宋" w:hAnsi="华文中宋" w:eastAsia="华文中宋" w:cs="仿宋"/>
                <w:sz w:val="24"/>
              </w:rPr>
            </w:pPr>
            <w:r>
              <w:rPr>
                <w:rFonts w:hint="eastAsia" w:ascii="华文中宋" w:hAnsi="华文中宋" w:eastAsia="华文中宋" w:cs="仿宋"/>
                <w:sz w:val="24"/>
              </w:rPr>
              <w:t>小于60ms。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4</w:t>
            </w:r>
          </w:p>
        </w:tc>
        <w:tc>
          <w:tcPr>
            <w:tcW w:w="1559"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电路可用率</w:t>
            </w:r>
          </w:p>
        </w:tc>
        <w:tc>
          <w:tcPr>
            <w:tcW w:w="6134" w:type="dxa"/>
            <w:shd w:val="clear" w:color="auto" w:fill="auto"/>
            <w:noWrap/>
            <w:vAlign w:val="center"/>
          </w:tcPr>
          <w:p>
            <w:pPr>
              <w:spacing w:line="440" w:lineRule="exact"/>
              <w:jc w:val="left"/>
              <w:rPr>
                <w:rFonts w:ascii="华文中宋" w:hAnsi="华文中宋" w:eastAsia="华文中宋" w:cs="仿宋"/>
                <w:sz w:val="24"/>
              </w:rPr>
            </w:pPr>
            <w:r>
              <w:rPr>
                <w:rFonts w:hint="eastAsia" w:ascii="华文中宋" w:hAnsi="华文中宋" w:eastAsia="华文中宋" w:cs="仿宋"/>
                <w:sz w:val="24"/>
              </w:rPr>
              <w:t>指每月运营商的网络或线路能够为客户提供正常服务时间占服务总时间的百分比。可用率默认承诺为99％。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5</w:t>
            </w:r>
          </w:p>
        </w:tc>
        <w:tc>
          <w:tcPr>
            <w:tcW w:w="1559"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IPV4</w:t>
            </w:r>
          </w:p>
        </w:tc>
        <w:tc>
          <w:tcPr>
            <w:tcW w:w="6134" w:type="dxa"/>
            <w:shd w:val="clear" w:color="auto" w:fill="auto"/>
            <w:noWrap/>
            <w:vAlign w:val="center"/>
          </w:tcPr>
          <w:p>
            <w:pPr>
              <w:spacing w:line="440" w:lineRule="exact"/>
              <w:jc w:val="left"/>
              <w:rPr>
                <w:rFonts w:ascii="华文中宋" w:hAnsi="华文中宋" w:eastAsia="华文中宋" w:cs="仿宋"/>
                <w:sz w:val="24"/>
              </w:rPr>
            </w:pPr>
            <w:r>
              <w:rPr>
                <w:rFonts w:hint="eastAsia" w:ascii="华文中宋" w:hAnsi="华文中宋" w:eastAsia="华文中宋" w:cs="仿宋"/>
                <w:sz w:val="24"/>
              </w:rPr>
              <w:t>1、IPV4国内带宽包月【100 M】。</w:t>
            </w:r>
          </w:p>
          <w:p>
            <w:pPr>
              <w:spacing w:line="440" w:lineRule="exact"/>
              <w:jc w:val="left"/>
              <w:rPr>
                <w:rFonts w:ascii="华文中宋" w:hAnsi="华文中宋" w:eastAsia="华文中宋" w:cs="仿宋"/>
                <w:sz w:val="24"/>
              </w:rPr>
            </w:pPr>
            <w:r>
              <w:rPr>
                <w:rFonts w:hint="eastAsia" w:ascii="华文中宋" w:hAnsi="华文中宋" w:eastAsia="华文中宋" w:cs="仿宋"/>
                <w:sz w:val="24"/>
              </w:rPr>
              <w:t>2、IPV4地址 【 256个（ 1个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6</w:t>
            </w:r>
          </w:p>
        </w:tc>
        <w:tc>
          <w:tcPr>
            <w:tcW w:w="1559"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IPV6</w:t>
            </w:r>
          </w:p>
        </w:tc>
        <w:tc>
          <w:tcPr>
            <w:tcW w:w="6134" w:type="dxa"/>
            <w:shd w:val="clear" w:color="auto" w:fill="auto"/>
            <w:noWrap/>
            <w:vAlign w:val="center"/>
          </w:tcPr>
          <w:p>
            <w:pPr>
              <w:spacing w:line="440" w:lineRule="exact"/>
              <w:jc w:val="left"/>
              <w:rPr>
                <w:rFonts w:ascii="华文中宋" w:hAnsi="华文中宋" w:eastAsia="华文中宋" w:cs="仿宋"/>
                <w:sz w:val="24"/>
              </w:rPr>
            </w:pPr>
            <w:r>
              <w:rPr>
                <w:rFonts w:hint="eastAsia" w:ascii="华文中宋" w:hAnsi="华文中宋" w:eastAsia="华文中宋" w:cs="仿宋"/>
                <w:sz w:val="24"/>
              </w:rPr>
              <w:t>1、提供100M免费带宽包月通信服务（如果CNGI-CERNET2商用，则停止免费服务）。</w:t>
            </w:r>
          </w:p>
          <w:p>
            <w:pPr>
              <w:spacing w:line="440" w:lineRule="exact"/>
              <w:jc w:val="left"/>
              <w:rPr>
                <w:rFonts w:ascii="华文中宋" w:hAnsi="华文中宋" w:eastAsia="华文中宋" w:cs="仿宋"/>
                <w:sz w:val="24"/>
              </w:rPr>
            </w:pPr>
            <w:r>
              <w:rPr>
                <w:rFonts w:hint="eastAsia" w:ascii="华文中宋" w:hAnsi="华文中宋" w:eastAsia="华文中宋" w:cs="仿宋"/>
                <w:sz w:val="24"/>
              </w:rPr>
              <w:t>2、子网前缀48位的IPV6地址一组。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4"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7</w:t>
            </w:r>
          </w:p>
        </w:tc>
        <w:tc>
          <w:tcPr>
            <w:tcW w:w="1559" w:type="dxa"/>
            <w:shd w:val="clear" w:color="auto" w:fill="auto"/>
            <w:noWrap/>
            <w:vAlign w:val="center"/>
          </w:tcPr>
          <w:p>
            <w:pPr>
              <w:spacing w:line="440" w:lineRule="exact"/>
              <w:jc w:val="center"/>
              <w:rPr>
                <w:rFonts w:ascii="华文中宋" w:hAnsi="华文中宋" w:eastAsia="华文中宋" w:cs="仿宋"/>
                <w:sz w:val="24"/>
              </w:rPr>
            </w:pPr>
            <w:r>
              <w:rPr>
                <w:rFonts w:hint="eastAsia" w:ascii="华文中宋" w:hAnsi="华文中宋" w:eastAsia="华文中宋" w:cs="仿宋"/>
                <w:sz w:val="24"/>
              </w:rPr>
              <w:t>教育网域名</w:t>
            </w:r>
          </w:p>
        </w:tc>
        <w:tc>
          <w:tcPr>
            <w:tcW w:w="6134" w:type="dxa"/>
            <w:shd w:val="clear" w:color="auto" w:fill="auto"/>
            <w:noWrap/>
            <w:vAlign w:val="center"/>
          </w:tcPr>
          <w:p>
            <w:pPr>
              <w:spacing w:line="440" w:lineRule="exact"/>
              <w:ind w:firstLine="480" w:firstLineChars="200"/>
              <w:jc w:val="center"/>
              <w:rPr>
                <w:rFonts w:ascii="华文中宋" w:hAnsi="华文中宋" w:eastAsia="华文中宋" w:cs="仿宋"/>
                <w:sz w:val="24"/>
              </w:rPr>
            </w:pPr>
            <w:r>
              <w:rPr>
                <w:rFonts w:hint="eastAsia" w:ascii="华文中宋" w:hAnsi="华文中宋" w:eastAsia="华文中宋" w:cs="仿宋"/>
                <w:sz w:val="24"/>
              </w:rPr>
              <w:t>jxlsxy.edu.cn</w:t>
            </w:r>
          </w:p>
        </w:tc>
      </w:tr>
    </w:tbl>
    <w:p/>
    <w:p>
      <w:bookmarkStart w:id="7" w:name="_Toc381105409"/>
      <w:bookmarkStart w:id="8" w:name="_Toc32626"/>
      <w:r>
        <w:rPr>
          <w:rFonts w:hint="eastAsia" w:ascii="华文中宋" w:hAnsi="华文中宋" w:eastAsia="华文中宋" w:cs="华文中宋"/>
          <w:b/>
          <w:bCs/>
          <w:kern w:val="2"/>
          <w:sz w:val="28"/>
          <w:szCs w:val="28"/>
          <w:lang w:val="en-US" w:eastAsia="zh-CN" w:bidi="ar-SA"/>
        </w:rPr>
        <w:t>注:以上技术要求全部为实质性要求，供应商须全部响应或优于。</w:t>
      </w:r>
      <w:bookmarkEnd w:id="7"/>
      <w:bookmarkEnd w:id="8"/>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37CF2"/>
    <w:multiLevelType w:val="singleLevel"/>
    <w:tmpl w:val="5A137CF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jA3YjdiMDE5YjQ1ZThhMGJiMTA0YTE3YTlhOTQifQ=="/>
  </w:docVars>
  <w:rsids>
    <w:rsidRoot w:val="00000000"/>
    <w:rsid w:val="4FD5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rPr>
      <w:sz w:val="24"/>
      <w:szCs w:val="24"/>
    </w:rPr>
  </w:style>
  <w:style w:type="paragraph" w:styleId="4">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2024-04-12T07:29:18Z</dcterms:created>
  <dc:creator>AL</dc:creator>
  <cp:lastModifiedBy>Adolf</cp:lastModifiedBy>
  <dcterms:modified xsi:type="dcterms:W3CDTF">2024-04-12T07:29:25Z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5B835F02055A4B5FB2264CDE0450A4B8_12</vt:lpwstr>
  </property>
</Properties>
</file>