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4"/>
        <w:gridCol w:w="1140"/>
        <w:gridCol w:w="5862"/>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sz w:val="24"/>
                <w:szCs w:val="24"/>
                <w:highlight w:val="none"/>
                <w:vertAlign w:val="baseline"/>
              </w:rPr>
            </w:pPr>
            <w:r>
              <w:rPr>
                <w:rFonts w:hint="eastAsia" w:ascii="仿宋" w:hAnsi="仿宋" w:eastAsia="仿宋" w:cs="宋体"/>
                <w:bCs/>
                <w:kern w:val="0"/>
                <w:sz w:val="24"/>
                <w:highlight w:val="none"/>
              </w:rPr>
              <w:t>序号</w:t>
            </w:r>
          </w:p>
        </w:tc>
        <w:tc>
          <w:tcPr>
            <w:tcW w:w="1323" w:type="dxa"/>
            <w:noWrap w:val="0"/>
            <w:vAlign w:val="center"/>
          </w:tcPr>
          <w:p>
            <w:pPr>
              <w:keepNext w:val="0"/>
              <w:keepLines w:val="0"/>
              <w:pageBreakBefore w:val="0"/>
              <w:widowControl/>
              <w:kinsoku/>
              <w:wordWrap/>
              <w:overflowPunct/>
              <w:topLinePunct w:val="0"/>
              <w:autoSpaceDE/>
              <w:autoSpaceDN/>
              <w:bidi w:val="0"/>
              <w:spacing w:line="360" w:lineRule="auto"/>
              <w:ind w:left="0"/>
              <w:jc w:val="center"/>
              <w:textAlignment w:val="auto"/>
              <w:rPr>
                <w:rFonts w:hint="eastAsia" w:ascii="仿宋" w:hAnsi="仿宋" w:eastAsia="仿宋" w:cs="仿宋"/>
                <w:sz w:val="24"/>
                <w:szCs w:val="24"/>
                <w:highlight w:val="none"/>
                <w:vertAlign w:val="baseline"/>
              </w:rPr>
            </w:pPr>
            <w:r>
              <w:rPr>
                <w:rFonts w:hint="eastAsia" w:ascii="仿宋" w:hAnsi="仿宋" w:eastAsia="仿宋" w:cs="宋体"/>
                <w:bCs/>
                <w:kern w:val="0"/>
                <w:sz w:val="24"/>
                <w:highlight w:val="none"/>
              </w:rPr>
              <w:t>货物名称</w:t>
            </w:r>
          </w:p>
        </w:tc>
        <w:tc>
          <w:tcPr>
            <w:tcW w:w="6954" w:type="dxa"/>
            <w:noWrap w:val="0"/>
            <w:vAlign w:val="center"/>
          </w:tcPr>
          <w:p>
            <w:pPr>
              <w:keepNext w:val="0"/>
              <w:keepLines w:val="0"/>
              <w:pageBreakBefore w:val="0"/>
              <w:widowControl/>
              <w:kinsoku/>
              <w:wordWrap/>
              <w:overflowPunct/>
              <w:topLinePunct w:val="0"/>
              <w:autoSpaceDE/>
              <w:autoSpaceDN/>
              <w:bidi w:val="0"/>
              <w:spacing w:line="360" w:lineRule="auto"/>
              <w:ind w:left="0"/>
              <w:jc w:val="center"/>
              <w:textAlignment w:val="auto"/>
              <w:rPr>
                <w:rFonts w:hint="eastAsia" w:ascii="仿宋" w:hAnsi="仿宋" w:eastAsia="仿宋" w:cs="仿宋"/>
                <w:sz w:val="24"/>
                <w:szCs w:val="24"/>
                <w:highlight w:val="none"/>
                <w:vertAlign w:val="baseline"/>
              </w:rPr>
            </w:pPr>
            <w:r>
              <w:rPr>
                <w:rFonts w:hint="eastAsia" w:ascii="仿宋" w:hAnsi="仿宋" w:eastAsia="仿宋" w:cs="宋体"/>
                <w:bCs/>
                <w:kern w:val="0"/>
                <w:sz w:val="24"/>
                <w:highlight w:val="none"/>
              </w:rPr>
              <w:t>技术指标</w:t>
            </w:r>
          </w:p>
        </w:tc>
        <w:tc>
          <w:tcPr>
            <w:tcW w:w="963" w:type="dxa"/>
            <w:noWrap w:val="0"/>
            <w:vAlign w:val="center"/>
          </w:tcPr>
          <w:p>
            <w:pPr>
              <w:keepNext w:val="0"/>
              <w:keepLines w:val="0"/>
              <w:pageBreakBefore w:val="0"/>
              <w:widowControl/>
              <w:kinsoku/>
              <w:wordWrap/>
              <w:overflowPunct/>
              <w:topLinePunct w:val="0"/>
              <w:autoSpaceDE/>
              <w:autoSpaceDN/>
              <w:bidi w:val="0"/>
              <w:spacing w:line="360" w:lineRule="auto"/>
              <w:ind w:left="0"/>
              <w:jc w:val="center"/>
              <w:textAlignment w:val="auto"/>
              <w:rPr>
                <w:rFonts w:hint="eastAsia" w:ascii="仿宋" w:hAnsi="仿宋" w:eastAsia="仿宋" w:cs="仿宋"/>
                <w:sz w:val="24"/>
                <w:szCs w:val="24"/>
                <w:highlight w:val="none"/>
                <w:vertAlign w:val="baseline"/>
              </w:rPr>
            </w:pPr>
            <w:r>
              <w:rPr>
                <w:rFonts w:hint="eastAsia" w:ascii="仿宋" w:hAnsi="仿宋" w:eastAsia="仿宋" w:cs="宋体"/>
                <w:bCs/>
                <w:kern w:val="0"/>
                <w:sz w:val="24"/>
                <w:highlight w:val="none"/>
              </w:rPr>
              <w:t>数量/单位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sz w:val="24"/>
                <w:szCs w:val="24"/>
                <w:highlight w:val="none"/>
                <w:vertAlign w:val="baseline"/>
              </w:rPr>
            </w:pPr>
            <w:r>
              <w:rPr>
                <w:rFonts w:hint="eastAsia" w:ascii="仿宋" w:hAnsi="仿宋" w:eastAsia="仿宋" w:cs="宋体"/>
                <w:bCs/>
                <w:kern w:val="0"/>
                <w:sz w:val="24"/>
                <w:highlight w:val="none"/>
              </w:rPr>
              <w:t>1</w:t>
            </w:r>
          </w:p>
        </w:tc>
        <w:tc>
          <w:tcPr>
            <w:tcW w:w="1323" w:type="dxa"/>
            <w:noWrap w:val="0"/>
            <w:vAlign w:val="center"/>
          </w:tcPr>
          <w:p>
            <w:pPr>
              <w:keepNext w:val="0"/>
              <w:keepLines w:val="0"/>
              <w:pageBreakBefore w:val="0"/>
              <w:widowControl/>
              <w:kinsoku/>
              <w:wordWrap/>
              <w:overflowPunct/>
              <w:topLinePunct w:val="0"/>
              <w:autoSpaceDE/>
              <w:autoSpaceDN/>
              <w:bidi w:val="0"/>
              <w:spacing w:line="360" w:lineRule="auto"/>
              <w:ind w:left="0"/>
              <w:jc w:val="center"/>
              <w:textAlignment w:val="auto"/>
              <w:rPr>
                <w:rFonts w:hint="eastAsia" w:ascii="仿宋" w:hAnsi="仿宋" w:eastAsia="仿宋" w:cs="仿宋"/>
                <w:sz w:val="24"/>
                <w:szCs w:val="24"/>
                <w:highlight w:val="none"/>
                <w:vertAlign w:val="baseline"/>
              </w:rPr>
            </w:pPr>
            <w:r>
              <w:rPr>
                <w:rFonts w:hint="eastAsia" w:ascii="仿宋" w:hAnsi="仿宋" w:eastAsia="仿宋" w:cs="宋体"/>
                <w:bCs/>
                <w:kern w:val="0"/>
                <w:sz w:val="24"/>
                <w:highlight w:val="none"/>
              </w:rPr>
              <w:t>服务器安全管理加固系统</w:t>
            </w:r>
          </w:p>
        </w:tc>
        <w:tc>
          <w:tcPr>
            <w:tcW w:w="6954" w:type="dxa"/>
            <w:noWrap w:val="0"/>
            <w:vAlign w:val="center"/>
          </w:tcPr>
          <w:p>
            <w:pPr>
              <w:keepNext w:val="0"/>
              <w:keepLines w:val="0"/>
              <w:pageBreakBefore w:val="0"/>
              <w:kinsoku/>
              <w:wordWrap/>
              <w:overflowPunct/>
              <w:topLinePunct w:val="0"/>
              <w:autoSpaceDE/>
              <w:autoSpaceDN/>
              <w:bidi w:val="0"/>
              <w:spacing w:line="360" w:lineRule="auto"/>
              <w:ind w:left="0"/>
              <w:jc w:val="left"/>
              <w:textAlignment w:val="auto"/>
              <w:rPr>
                <w:rFonts w:ascii="仿宋" w:hAnsi="仿宋" w:eastAsia="仿宋" w:cs="宋体"/>
                <w:sz w:val="24"/>
                <w:highlight w:val="none"/>
              </w:rPr>
            </w:pPr>
            <w:r>
              <w:rPr>
                <w:rFonts w:hint="eastAsia" w:ascii="仿宋" w:hAnsi="仿宋" w:eastAsia="仿宋"/>
                <w:sz w:val="24"/>
                <w:highlight w:val="none"/>
              </w:rPr>
              <w:t>1、软件形态，由管理平台及客户端软件组成，提供资产梳理、风险发现、病毒扫描、安全基线等基础检测能力，并额外提供系统防护加固、应用防护等高级防护能力。 配置20个客户端授权，含三年维保服务</w:t>
            </w:r>
          </w:p>
          <w:p>
            <w:pPr>
              <w:keepNext w:val="0"/>
              <w:keepLines w:val="0"/>
              <w:pageBreakBefore w:val="0"/>
              <w:kinsoku/>
              <w:wordWrap/>
              <w:overflowPunct/>
              <w:topLinePunct w:val="0"/>
              <w:autoSpaceDE/>
              <w:autoSpaceDN/>
              <w:bidi w:val="0"/>
              <w:spacing w:line="360" w:lineRule="auto"/>
              <w:ind w:left="0"/>
              <w:jc w:val="left"/>
              <w:textAlignment w:val="auto"/>
              <w:rPr>
                <w:rFonts w:ascii="仿宋" w:hAnsi="仿宋" w:eastAsia="仿宋" w:cs="宋体"/>
                <w:sz w:val="24"/>
                <w:highlight w:val="none"/>
              </w:rPr>
            </w:pPr>
            <w:r>
              <w:rPr>
                <w:rFonts w:hint="eastAsia" w:ascii="仿宋" w:hAnsi="仿宋" w:eastAsia="仿宋"/>
                <w:sz w:val="24"/>
                <w:highlight w:val="none"/>
              </w:rPr>
              <w:t>2、</w:t>
            </w:r>
            <w:r>
              <w:rPr>
                <w:rFonts w:hint="eastAsia" w:ascii="仿宋" w:hAnsi="仿宋" w:eastAsia="仿宋" w:cs="宋体"/>
                <w:sz w:val="24"/>
                <w:highlight w:val="none"/>
              </w:rPr>
              <w:t>支持windows/linux主流操作系统，支持中标麒麟、红旗等国产操作系统。</w:t>
            </w:r>
          </w:p>
          <w:p>
            <w:pPr>
              <w:pStyle w:val="6"/>
              <w:keepNext w:val="0"/>
              <w:keepLines w:val="0"/>
              <w:pageBreakBefore w:val="0"/>
              <w:kinsoku/>
              <w:wordWrap/>
              <w:overflowPunct/>
              <w:topLinePunct w:val="0"/>
              <w:autoSpaceDE/>
              <w:autoSpaceDN/>
              <w:bidi w:val="0"/>
              <w:adjustRightInd w:val="0"/>
              <w:snapToGrid w:val="0"/>
              <w:spacing w:line="360" w:lineRule="auto"/>
              <w:ind w:left="0"/>
              <w:textAlignment w:val="auto"/>
              <w:rPr>
                <w:rFonts w:ascii="仿宋" w:hAnsi="仿宋" w:eastAsia="仿宋"/>
                <w:sz w:val="24"/>
                <w:highlight w:val="none"/>
              </w:rPr>
            </w:pPr>
            <w:r>
              <w:rPr>
                <w:rFonts w:hint="eastAsia" w:ascii="仿宋" w:hAnsi="仿宋" w:eastAsia="仿宋"/>
                <w:sz w:val="24"/>
                <w:highlight w:val="none"/>
              </w:rPr>
              <w:t>3、客户端具有反逆向、反调试功能、自保护功能，客户端和管理中心通信采用安全的加密机制；支持自我防护技术，即使客户端被意外关闭，防护依然有效；</w:t>
            </w:r>
          </w:p>
          <w:p>
            <w:pPr>
              <w:pStyle w:val="6"/>
              <w:keepNext w:val="0"/>
              <w:keepLines w:val="0"/>
              <w:pageBreakBefore w:val="0"/>
              <w:kinsoku/>
              <w:wordWrap/>
              <w:overflowPunct/>
              <w:topLinePunct w:val="0"/>
              <w:autoSpaceDE/>
              <w:autoSpaceDN/>
              <w:bidi w:val="0"/>
              <w:adjustRightInd w:val="0"/>
              <w:snapToGrid w:val="0"/>
              <w:spacing w:line="360" w:lineRule="auto"/>
              <w:ind w:left="0"/>
              <w:textAlignment w:val="auto"/>
              <w:rPr>
                <w:rFonts w:ascii="仿宋" w:hAnsi="仿宋" w:eastAsia="仿宋"/>
                <w:sz w:val="24"/>
                <w:highlight w:val="none"/>
              </w:rPr>
            </w:pPr>
            <w:r>
              <w:rPr>
                <w:rFonts w:hint="eastAsia" w:ascii="仿宋" w:hAnsi="仿宋" w:eastAsia="仿宋"/>
                <w:sz w:val="24"/>
                <w:highlight w:val="none"/>
              </w:rPr>
              <w:t>4、支持展示当前服务器、进程、账户、软件应用、Web资产、Web服务、Web框架、数据库、端口、网络连接、启动服务、安装包、计划任务、环境变量、内核模块等分类资产数量统计，可对分类资产全局进行快速搜索，保留历史搜索记录并保存搜索条件以进行快捷搜索，同时提供服务器名、IP地址、操作系统、资产类型的筛选搜索；针对搜索结果，支持按资产类型导出；</w:t>
            </w:r>
          </w:p>
          <w:p>
            <w:pPr>
              <w:pStyle w:val="6"/>
              <w:keepNext w:val="0"/>
              <w:keepLines w:val="0"/>
              <w:pageBreakBefore w:val="0"/>
              <w:kinsoku/>
              <w:wordWrap/>
              <w:overflowPunct/>
              <w:topLinePunct w:val="0"/>
              <w:autoSpaceDE/>
              <w:autoSpaceDN/>
              <w:bidi w:val="0"/>
              <w:adjustRightInd w:val="0"/>
              <w:snapToGrid w:val="0"/>
              <w:spacing w:line="360" w:lineRule="auto"/>
              <w:ind w:left="0"/>
              <w:textAlignment w:val="auto"/>
              <w:rPr>
                <w:rFonts w:ascii="仿宋" w:hAnsi="仿宋" w:eastAsia="仿宋"/>
                <w:sz w:val="24"/>
                <w:highlight w:val="none"/>
              </w:rPr>
            </w:pPr>
            <w:r>
              <w:rPr>
                <w:rFonts w:hint="eastAsia" w:ascii="仿宋" w:hAnsi="仿宋" w:eastAsia="仿宋"/>
                <w:sz w:val="24"/>
                <w:highlight w:val="none"/>
              </w:rPr>
              <w:t>5、支持自动学习并梳理出对互联网暴露的服务器端口信息，并提供端口处置；支持自动学习并梳理出内网端口访问情况，并提供端口处置；支持对端口访问IP地址、IP端、主机进行例外设置；</w:t>
            </w:r>
          </w:p>
          <w:p>
            <w:pPr>
              <w:pStyle w:val="6"/>
              <w:keepNext w:val="0"/>
              <w:keepLines w:val="0"/>
              <w:pageBreakBefore w:val="0"/>
              <w:kinsoku/>
              <w:wordWrap/>
              <w:overflowPunct/>
              <w:topLinePunct w:val="0"/>
              <w:autoSpaceDE/>
              <w:autoSpaceDN/>
              <w:bidi w:val="0"/>
              <w:adjustRightInd w:val="0"/>
              <w:snapToGrid w:val="0"/>
              <w:spacing w:line="360" w:lineRule="auto"/>
              <w:ind w:left="0"/>
              <w:textAlignment w:val="auto"/>
              <w:rPr>
                <w:rFonts w:ascii="仿宋" w:hAnsi="仿宋" w:eastAsia="仿宋"/>
                <w:sz w:val="24"/>
                <w:highlight w:val="none"/>
              </w:rPr>
            </w:pPr>
            <w:r>
              <w:rPr>
                <w:rFonts w:hint="eastAsia" w:ascii="仿宋" w:hAnsi="仿宋" w:eastAsia="仿宋"/>
                <w:sz w:val="24"/>
                <w:highlight w:val="none"/>
              </w:rPr>
              <w:t>6、支持CIS、等级保护二级、三级检查，系统内置官方等保2.0的二级、三级基线模板，满足等保二级及等保三级要求，同时支持用户自定义基线检查任务。并支持基线检查结果的图形化统计，包括：合规率、问题项TOP5、风险服务器TOP5等维度的统计，并可导出基线检查报告。；</w:t>
            </w:r>
          </w:p>
          <w:p>
            <w:pPr>
              <w:pStyle w:val="6"/>
              <w:keepNext w:val="0"/>
              <w:keepLines w:val="0"/>
              <w:pageBreakBefore w:val="0"/>
              <w:kinsoku/>
              <w:wordWrap/>
              <w:overflowPunct/>
              <w:topLinePunct w:val="0"/>
              <w:autoSpaceDE/>
              <w:autoSpaceDN/>
              <w:bidi w:val="0"/>
              <w:adjustRightInd w:val="0"/>
              <w:snapToGrid w:val="0"/>
              <w:spacing w:line="360" w:lineRule="auto"/>
              <w:ind w:left="0"/>
              <w:textAlignment w:val="auto"/>
              <w:rPr>
                <w:rFonts w:ascii="仿宋" w:hAnsi="仿宋" w:eastAsia="仿宋"/>
                <w:sz w:val="24"/>
                <w:highlight w:val="none"/>
              </w:rPr>
            </w:pPr>
            <w:r>
              <w:rPr>
                <w:rFonts w:hint="eastAsia" w:ascii="仿宋" w:hAnsi="仿宋" w:eastAsia="仿宋"/>
                <w:sz w:val="24"/>
                <w:highlight w:val="none"/>
              </w:rPr>
              <w:t>7、支持驱动级防篡改，可以保护整个目录、网页或文件不被恶意修改或者变更，支持监控和控制文件读取、写入、删除、链接、创建、执行、重命名等操作，支持对目录、进程进行例外设置。</w:t>
            </w:r>
          </w:p>
          <w:p>
            <w:pPr>
              <w:pStyle w:val="6"/>
              <w:keepNext w:val="0"/>
              <w:keepLines w:val="0"/>
              <w:pageBreakBefore w:val="0"/>
              <w:kinsoku/>
              <w:wordWrap/>
              <w:overflowPunct/>
              <w:topLinePunct w:val="0"/>
              <w:autoSpaceDE/>
              <w:autoSpaceDN/>
              <w:bidi w:val="0"/>
              <w:adjustRightInd w:val="0"/>
              <w:snapToGrid w:val="0"/>
              <w:spacing w:line="360" w:lineRule="auto"/>
              <w:ind w:left="0"/>
              <w:textAlignment w:val="auto"/>
              <w:rPr>
                <w:rFonts w:ascii="仿宋" w:hAnsi="仿宋" w:eastAsia="仿宋"/>
                <w:sz w:val="24"/>
                <w:highlight w:val="none"/>
              </w:rPr>
            </w:pPr>
            <w:r>
              <w:rPr>
                <w:rFonts w:hint="eastAsia" w:ascii="仿宋" w:hAnsi="仿宋" w:eastAsia="仿宋"/>
                <w:sz w:val="24"/>
                <w:highlight w:val="none"/>
              </w:rPr>
              <w:t>8、支持统计并展示服务器的可疑威胁及告警信息，包括：可疑威胁事件统计、可疑威胁分布、</w:t>
            </w:r>
            <w:r>
              <w:rPr>
                <w:rFonts w:hint="eastAsia" w:ascii="仿宋" w:hAnsi="仿宋" w:eastAsia="仿宋"/>
                <w:color w:val="000000"/>
                <w:sz w:val="24"/>
                <w:highlight w:val="none"/>
              </w:rPr>
              <w:t>可疑威胁趋</w:t>
            </w:r>
            <w:r>
              <w:rPr>
                <w:rFonts w:hint="eastAsia" w:ascii="仿宋" w:hAnsi="仿宋" w:eastAsia="仿宋"/>
                <w:sz w:val="24"/>
                <w:highlight w:val="none"/>
              </w:rPr>
              <w:t>势，以及具体的威胁事件列表，并可对威胁事件进行研判，还可将威胁事件导出为EXCEL格式的报告。</w:t>
            </w:r>
          </w:p>
          <w:p>
            <w:pPr>
              <w:pStyle w:val="6"/>
              <w:keepNext w:val="0"/>
              <w:keepLines w:val="0"/>
              <w:pageBreakBefore w:val="0"/>
              <w:widowControl w:val="0"/>
              <w:numPr>
                <w:ilvl w:val="0"/>
                <w:numId w:val="1"/>
              </w:numPr>
              <w:kinsoku/>
              <w:wordWrap/>
              <w:overflowPunct/>
              <w:topLinePunct w:val="0"/>
              <w:autoSpaceDE/>
              <w:autoSpaceDN/>
              <w:bidi w:val="0"/>
              <w:adjustRightInd w:val="0"/>
              <w:snapToGrid w:val="0"/>
              <w:spacing w:line="360" w:lineRule="auto"/>
              <w:ind w:left="0" w:leftChars="0" w:firstLine="0" w:firstLineChars="0"/>
              <w:textAlignment w:val="auto"/>
              <w:rPr>
                <w:rFonts w:ascii="仿宋" w:hAnsi="仿宋" w:eastAsia="仿宋"/>
                <w:sz w:val="24"/>
                <w:highlight w:val="none"/>
              </w:rPr>
            </w:pPr>
            <w:r>
              <w:rPr>
                <w:rFonts w:hint="eastAsia" w:ascii="仿宋" w:hAnsi="仿宋" w:eastAsia="仿宋"/>
                <w:sz w:val="24"/>
                <w:highlight w:val="none"/>
              </w:rPr>
              <w:t>支持对服务器主机的CPU利用率、内存使用率、磁盘使用率进行监控，支持展示近1小时、近半天、近1天、近7天、近1个月、近1年的监控数据。</w:t>
            </w:r>
          </w:p>
          <w:p>
            <w:pPr>
              <w:pStyle w:val="6"/>
              <w:keepNext w:val="0"/>
              <w:keepLines w:val="0"/>
              <w:pageBreakBefore w:val="0"/>
              <w:kinsoku/>
              <w:wordWrap/>
              <w:overflowPunct/>
              <w:topLinePunct w:val="0"/>
              <w:autoSpaceDE/>
              <w:autoSpaceDN/>
              <w:bidi w:val="0"/>
              <w:adjustRightInd w:val="0"/>
              <w:snapToGrid w:val="0"/>
              <w:spacing w:line="360" w:lineRule="auto"/>
              <w:ind w:left="0" w:leftChars="0"/>
              <w:textAlignment w:val="auto"/>
              <w:rPr>
                <w:rFonts w:hint="eastAsia" w:ascii="仿宋" w:hAnsi="仿宋" w:eastAsia="仿宋" w:cs="仿宋"/>
                <w:sz w:val="24"/>
                <w:szCs w:val="24"/>
                <w:highlight w:val="none"/>
                <w:vertAlign w:val="baseline"/>
              </w:rPr>
            </w:pPr>
            <w:r>
              <w:rPr>
                <w:rFonts w:hint="eastAsia" w:ascii="仿宋" w:hAnsi="仿宋" w:eastAsia="仿宋"/>
                <w:sz w:val="24"/>
                <w:highlight w:val="none"/>
              </w:rPr>
              <w:t>10、支持创建子账号，创建账号时支持配置其角色、上级账户、绑定服务器，支持添加归属人、手机号、邮箱、备注等附属信息。</w:t>
            </w:r>
          </w:p>
        </w:tc>
        <w:tc>
          <w:tcPr>
            <w:tcW w:w="963" w:type="dxa"/>
            <w:noWrap w:val="0"/>
            <w:vAlign w:val="center"/>
          </w:tcPr>
          <w:p>
            <w:pPr>
              <w:keepNext w:val="0"/>
              <w:keepLines w:val="0"/>
              <w:pageBreakBefore w:val="0"/>
              <w:widowControl/>
              <w:kinsoku/>
              <w:wordWrap/>
              <w:overflowPunct/>
              <w:topLinePunct w:val="0"/>
              <w:autoSpaceDE/>
              <w:autoSpaceDN/>
              <w:bidi w:val="0"/>
              <w:spacing w:line="360" w:lineRule="auto"/>
              <w:ind w:left="0"/>
              <w:jc w:val="center"/>
              <w:textAlignment w:val="auto"/>
              <w:rPr>
                <w:rFonts w:hint="eastAsia" w:ascii="仿宋" w:hAnsi="仿宋" w:eastAsia="仿宋" w:cs="仿宋"/>
                <w:sz w:val="24"/>
                <w:szCs w:val="24"/>
                <w:highlight w:val="none"/>
                <w:vertAlign w:val="baseline"/>
              </w:rPr>
            </w:pPr>
            <w:r>
              <w:rPr>
                <w:rFonts w:hint="eastAsia" w:ascii="仿宋" w:hAnsi="仿宋" w:eastAsia="仿宋" w:cs="宋体"/>
                <w:bCs/>
                <w:kern w:val="0"/>
                <w:sz w:val="24"/>
                <w:highlight w:val="none"/>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noWrap w:val="0"/>
            <w:vAlign w:val="center"/>
          </w:tcPr>
          <w:p>
            <w:pPr>
              <w:keepNext w:val="0"/>
              <w:keepLines w:val="0"/>
              <w:pageBreakBefore w:val="0"/>
              <w:widowControl/>
              <w:kinsoku/>
              <w:wordWrap/>
              <w:overflowPunct/>
              <w:topLinePunct w:val="0"/>
              <w:autoSpaceDE/>
              <w:autoSpaceDN/>
              <w:bidi w:val="0"/>
              <w:spacing w:line="360" w:lineRule="auto"/>
              <w:ind w:left="0"/>
              <w:textAlignment w:val="auto"/>
              <w:rPr>
                <w:rFonts w:hint="eastAsia" w:ascii="仿宋" w:hAnsi="仿宋" w:eastAsia="仿宋" w:cs="仿宋"/>
                <w:sz w:val="24"/>
                <w:szCs w:val="24"/>
                <w:highlight w:val="none"/>
                <w:vertAlign w:val="baseline"/>
              </w:rPr>
            </w:pPr>
            <w:r>
              <w:rPr>
                <w:rFonts w:hint="eastAsia" w:ascii="仿宋" w:hAnsi="仿宋" w:eastAsia="仿宋" w:cs="宋体"/>
                <w:bCs/>
                <w:kern w:val="0"/>
                <w:sz w:val="24"/>
                <w:highlight w:val="none"/>
              </w:rPr>
              <w:t>2</w:t>
            </w:r>
          </w:p>
        </w:tc>
        <w:tc>
          <w:tcPr>
            <w:tcW w:w="1323" w:type="dxa"/>
            <w:noWrap w:val="0"/>
            <w:vAlign w:val="center"/>
          </w:tcPr>
          <w:p>
            <w:pPr>
              <w:keepNext w:val="0"/>
              <w:keepLines w:val="0"/>
              <w:pageBreakBefore w:val="0"/>
              <w:widowControl/>
              <w:kinsoku/>
              <w:wordWrap/>
              <w:overflowPunct/>
              <w:topLinePunct w:val="0"/>
              <w:autoSpaceDE/>
              <w:autoSpaceDN/>
              <w:bidi w:val="0"/>
              <w:spacing w:line="360" w:lineRule="auto"/>
              <w:ind w:left="0"/>
              <w:jc w:val="center"/>
              <w:textAlignment w:val="auto"/>
              <w:rPr>
                <w:rFonts w:hint="eastAsia" w:ascii="仿宋" w:hAnsi="仿宋" w:eastAsia="仿宋" w:cs="仿宋"/>
                <w:sz w:val="24"/>
                <w:szCs w:val="24"/>
                <w:highlight w:val="none"/>
                <w:vertAlign w:val="baseline"/>
              </w:rPr>
            </w:pPr>
            <w:r>
              <w:rPr>
                <w:rFonts w:hint="eastAsia" w:ascii="仿宋" w:hAnsi="仿宋" w:eastAsia="仿宋" w:cs="宋体"/>
                <w:bCs/>
                <w:kern w:val="0"/>
                <w:sz w:val="24"/>
                <w:highlight w:val="none"/>
              </w:rPr>
              <w:t>防火墙维保</w:t>
            </w:r>
          </w:p>
        </w:tc>
        <w:tc>
          <w:tcPr>
            <w:tcW w:w="6954" w:type="dxa"/>
            <w:noWrap w:val="0"/>
            <w:vAlign w:val="center"/>
          </w:tcPr>
          <w:p>
            <w:pPr>
              <w:keepNext w:val="0"/>
              <w:keepLines w:val="0"/>
              <w:pageBreakBefore w:val="0"/>
              <w:kinsoku/>
              <w:wordWrap/>
              <w:overflowPunct/>
              <w:topLinePunct w:val="0"/>
              <w:autoSpaceDE/>
              <w:autoSpaceDN/>
              <w:bidi w:val="0"/>
              <w:spacing w:line="360" w:lineRule="auto"/>
              <w:ind w:left="0" w:firstLine="420"/>
              <w:textAlignment w:val="auto"/>
              <w:rPr>
                <w:rFonts w:ascii="仿宋" w:hAnsi="仿宋" w:eastAsia="仿宋"/>
                <w:sz w:val="24"/>
                <w:highlight w:val="none"/>
              </w:rPr>
            </w:pPr>
            <w:r>
              <w:rPr>
                <w:rFonts w:hint="eastAsia" w:ascii="仿宋" w:hAnsi="仿宋" w:eastAsia="仿宋"/>
                <w:sz w:val="24"/>
                <w:highlight w:val="none"/>
              </w:rPr>
              <w:t>提供在网设备FW1000-TS-A设备IPS和防病毒特征库1年升级服务，一年期间提供免费技术支持服务、备件库服务、软件支持服务、特征库升级服务。</w:t>
            </w:r>
          </w:p>
          <w:p>
            <w:pPr>
              <w:keepNext w:val="0"/>
              <w:keepLines w:val="0"/>
              <w:pageBreakBefore w:val="0"/>
              <w:kinsoku/>
              <w:wordWrap/>
              <w:overflowPunct/>
              <w:topLinePunct w:val="0"/>
              <w:autoSpaceDE/>
              <w:autoSpaceDN/>
              <w:bidi w:val="0"/>
              <w:spacing w:line="360" w:lineRule="auto"/>
              <w:ind w:left="0" w:firstLine="420"/>
              <w:textAlignment w:val="auto"/>
              <w:rPr>
                <w:rFonts w:ascii="仿宋" w:hAnsi="仿宋" w:eastAsia="仿宋"/>
                <w:sz w:val="24"/>
                <w:highlight w:val="none"/>
              </w:rPr>
            </w:pPr>
            <w:r>
              <w:rPr>
                <w:rFonts w:hint="eastAsia" w:ascii="仿宋" w:hAnsi="仿宋" w:eastAsia="仿宋"/>
                <w:sz w:val="24"/>
                <w:highlight w:val="none"/>
              </w:rPr>
              <w:t>（1）技术支持服务：提供快速备件更换、远程技术支持、维护性软件版本支持以及网站支持等，能够有效帮助用户的现场技术支持人员维护网络，满足客户对高效、稳定的IT环境的需求；7x24小时接受服务请求，提供全天候无间断的产品技术咨询、故障申报、硬件维修RMA受理、培训需求受理、以及服务政策咨询等服务内容。</w:t>
            </w:r>
          </w:p>
          <w:p>
            <w:pPr>
              <w:keepNext w:val="0"/>
              <w:keepLines w:val="0"/>
              <w:pageBreakBefore w:val="0"/>
              <w:kinsoku/>
              <w:wordWrap/>
              <w:overflowPunct/>
              <w:topLinePunct w:val="0"/>
              <w:autoSpaceDE/>
              <w:autoSpaceDN/>
              <w:bidi w:val="0"/>
              <w:spacing w:line="360" w:lineRule="auto"/>
              <w:ind w:left="0" w:firstLine="420"/>
              <w:textAlignment w:val="auto"/>
              <w:rPr>
                <w:rFonts w:ascii="仿宋" w:hAnsi="仿宋" w:eastAsia="仿宋"/>
                <w:sz w:val="24"/>
                <w:highlight w:val="none"/>
              </w:rPr>
            </w:pPr>
            <w:r>
              <w:rPr>
                <w:rFonts w:hint="eastAsia" w:ascii="仿宋" w:hAnsi="仿宋" w:eastAsia="仿宋"/>
                <w:sz w:val="24"/>
                <w:highlight w:val="none"/>
              </w:rPr>
              <w:t xml:space="preserve">（2）备件库服务：提供本地备件库，可以发送大大减少返修、换件等等的用户等待时间，大大提高更换效率。 </w:t>
            </w:r>
          </w:p>
          <w:p>
            <w:pPr>
              <w:keepNext w:val="0"/>
              <w:keepLines w:val="0"/>
              <w:pageBreakBefore w:val="0"/>
              <w:kinsoku/>
              <w:wordWrap/>
              <w:overflowPunct/>
              <w:topLinePunct w:val="0"/>
              <w:autoSpaceDE/>
              <w:autoSpaceDN/>
              <w:bidi w:val="0"/>
              <w:spacing w:line="360" w:lineRule="auto"/>
              <w:ind w:left="0" w:firstLine="420"/>
              <w:textAlignment w:val="auto"/>
              <w:rPr>
                <w:rFonts w:ascii="仿宋" w:hAnsi="仿宋" w:eastAsia="仿宋"/>
                <w:sz w:val="24"/>
                <w:highlight w:val="none"/>
              </w:rPr>
            </w:pPr>
            <w:r>
              <w:rPr>
                <w:rFonts w:hint="eastAsia" w:ascii="仿宋" w:hAnsi="仿宋" w:eastAsia="仿宋"/>
                <w:sz w:val="24"/>
                <w:highlight w:val="none"/>
              </w:rPr>
              <w:t>（3）软件支持服务：在服务有效期内，能向客户提供所购设备的主机软件的维护性版本或升级版本以及该软件配套的文档资料。获得软件后，客户将享有与原有软件相同的许可权利。</w:t>
            </w:r>
          </w:p>
          <w:p>
            <w:pPr>
              <w:keepNext w:val="0"/>
              <w:keepLines w:val="0"/>
              <w:pageBreakBefore w:val="0"/>
              <w:kinsoku/>
              <w:wordWrap/>
              <w:overflowPunct/>
              <w:topLinePunct w:val="0"/>
              <w:autoSpaceDE/>
              <w:autoSpaceDN/>
              <w:bidi w:val="0"/>
              <w:spacing w:line="360" w:lineRule="auto"/>
              <w:ind w:left="0" w:firstLine="420"/>
              <w:textAlignment w:val="auto"/>
              <w:rPr>
                <w:rFonts w:hint="eastAsia" w:ascii="仿宋" w:hAnsi="仿宋" w:eastAsia="仿宋" w:cs="仿宋"/>
                <w:sz w:val="24"/>
                <w:szCs w:val="24"/>
                <w:highlight w:val="none"/>
                <w:vertAlign w:val="baseline"/>
              </w:rPr>
            </w:pPr>
            <w:r>
              <w:rPr>
                <w:rFonts w:hint="eastAsia" w:ascii="仿宋" w:hAnsi="仿宋" w:eastAsia="仿宋"/>
                <w:sz w:val="24"/>
                <w:highlight w:val="none"/>
              </w:rPr>
              <w:t>（4）特征库升级服务：提供不断地为用户建立和更新攻击特征库、病毒库、协议特征库等来保护用户的系统。在购买的特征库服务有效期内，能向客户提供特征库升级服务。</w:t>
            </w:r>
          </w:p>
        </w:tc>
        <w:tc>
          <w:tcPr>
            <w:tcW w:w="963" w:type="dxa"/>
            <w:noWrap w:val="0"/>
            <w:vAlign w:val="center"/>
          </w:tcPr>
          <w:p>
            <w:pPr>
              <w:keepNext w:val="0"/>
              <w:keepLines w:val="0"/>
              <w:pageBreakBefore w:val="0"/>
              <w:widowControl/>
              <w:kinsoku/>
              <w:wordWrap/>
              <w:overflowPunct/>
              <w:topLinePunct w:val="0"/>
              <w:autoSpaceDE/>
              <w:autoSpaceDN/>
              <w:bidi w:val="0"/>
              <w:spacing w:line="360" w:lineRule="auto"/>
              <w:ind w:left="0"/>
              <w:jc w:val="center"/>
              <w:textAlignment w:val="auto"/>
              <w:rPr>
                <w:rFonts w:hint="eastAsia" w:ascii="仿宋" w:hAnsi="仿宋" w:eastAsia="仿宋" w:cs="仿宋"/>
                <w:sz w:val="24"/>
                <w:szCs w:val="24"/>
                <w:highlight w:val="none"/>
                <w:vertAlign w:val="baseline"/>
              </w:rPr>
            </w:pPr>
            <w:r>
              <w:rPr>
                <w:rFonts w:hint="eastAsia" w:ascii="仿宋" w:hAnsi="仿宋" w:eastAsia="仿宋" w:cs="宋体"/>
                <w:bCs/>
                <w:kern w:val="0"/>
                <w:sz w:val="24"/>
                <w:highlight w:val="none"/>
              </w:rPr>
              <w:t>1年</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316E1F"/>
    <w:multiLevelType w:val="multilevel"/>
    <w:tmpl w:val="17316E1F"/>
    <w:lvl w:ilvl="0" w:tentative="0">
      <w:start w:val="9"/>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BlOTE1YzY4NDQ4M2MzYWI5YmI1MTYxM2ExY2FlNGQifQ=="/>
  </w:docVars>
  <w:rsids>
    <w:rsidRoot w:val="68EC19BD"/>
    <w:rsid w:val="68EC1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uiPriority w:val="0"/>
    <w:pPr>
      <w:ind w:firstLine="420"/>
    </w:pPr>
    <w:rPr>
      <w:rFonts w:ascii="宋体"/>
      <w:sz w:val="32"/>
      <w:szCs w:val="20"/>
    </w:rPr>
  </w:style>
  <w:style w:type="table" w:styleId="4">
    <w:name w:val="Table Grid"/>
    <w:basedOn w:val="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彩色列表 - 强调文字颜色 12"/>
    <w:basedOn w:val="1"/>
    <w:qFormat/>
    <w:uiPriority w:val="99"/>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1303</Words>
  <Characters>1360</Characters>
  <Lines>0</Lines>
  <Paragraphs>0</Paragraphs>
  <TotalTime>0</TotalTime>
  <ScaleCrop>false</ScaleCrop>
  <LinksUpToDate>false</LinksUpToDate>
  <CharactersWithSpaces>1362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2023-07-06T08:09:00Z</dcterms:created>
  <dc:creator>君子不愠</dc:creator>
  <cp:lastModifiedBy>君子不愠</cp:lastModifiedBy>
  <dcterms:modified xsi:type="dcterms:W3CDTF">2023-07-06T08:09:47Z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D56EFCB720AC4AA2BEE9E44F239A6B37_11</vt:lpwstr>
  </property>
</Properties>
</file>