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3"/>
        <w:gridCol w:w="1213"/>
        <w:gridCol w:w="1616"/>
        <w:gridCol w:w="5344"/>
        <w:gridCol w:w="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803" w:type="dxa"/>
            <w:shd w:val="pct20" w:color="auto" w:fill="auto"/>
            <w:noWrap w:val="0"/>
            <w:vAlign w:val="top"/>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213" w:type="dxa"/>
            <w:shd w:val="pct20" w:color="auto" w:fill="auto"/>
            <w:noWrap w:val="0"/>
            <w:vAlign w:val="top"/>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总体建设</w:t>
            </w:r>
            <w:bookmarkStart w:id="2" w:name="_GoBack"/>
            <w:bookmarkEnd w:id="2"/>
          </w:p>
        </w:tc>
        <w:tc>
          <w:tcPr>
            <w:tcW w:w="1616" w:type="dxa"/>
            <w:shd w:val="pct20" w:color="auto" w:fill="auto"/>
            <w:noWrap w:val="0"/>
            <w:vAlign w:val="top"/>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建设内容</w:t>
            </w:r>
          </w:p>
        </w:tc>
        <w:tc>
          <w:tcPr>
            <w:tcW w:w="5344" w:type="dxa"/>
            <w:shd w:val="pct20" w:color="auto" w:fill="auto"/>
            <w:noWrap w:val="0"/>
            <w:vAlign w:val="top"/>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主要功能参数</w:t>
            </w:r>
          </w:p>
        </w:tc>
        <w:tc>
          <w:tcPr>
            <w:tcW w:w="792" w:type="dxa"/>
            <w:shd w:val="pct20" w:color="auto" w:fill="auto"/>
            <w:noWrap w:val="0"/>
            <w:vAlign w:val="top"/>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vMerge w:val="restar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213" w:type="dxa"/>
            <w:vMerge w:val="restart"/>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安全服务</w:t>
            </w:r>
          </w:p>
        </w:tc>
        <w:tc>
          <w:tcPr>
            <w:tcW w:w="1616" w:type="dxa"/>
            <w:noWrap w:val="0"/>
            <w:vAlign w:val="center"/>
          </w:tcPr>
          <w:p>
            <w:pPr>
              <w:jc w:val="center"/>
              <w:rPr>
                <w:rFonts w:hint="eastAsia" w:ascii="仿宋" w:hAnsi="仿宋" w:eastAsia="仿宋" w:cs="仿宋"/>
                <w:sz w:val="24"/>
                <w:szCs w:val="24"/>
              </w:rPr>
            </w:pPr>
            <w:bookmarkStart w:id="0" w:name="_Hlk138065978"/>
            <w:r>
              <w:rPr>
                <w:rFonts w:hint="eastAsia" w:ascii="仿宋" w:hAnsi="仿宋" w:eastAsia="仿宋" w:cs="仿宋"/>
                <w:sz w:val="24"/>
                <w:szCs w:val="24"/>
              </w:rPr>
              <w:t>渗透测试服务</w:t>
            </w:r>
            <w:bookmarkEnd w:id="0"/>
          </w:p>
        </w:tc>
        <w:tc>
          <w:tcPr>
            <w:tcW w:w="5344"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模仿黑客的手法远程或本地对重要资产进行模拟攻击，渗透测试内容，应包括数据库系统、中间件、应用系统以及身份认证等安全机制，具体要求内容：根据网络脆弱性检测中发现的脆弱点，模拟黑客对系统中的终端、服务器进行现场滲透性验证、SQL 注入、XSS (跨站脚本)、CRLF 注入、代码执行、目录遍历、文件包含、输入验证、认证、逻辑错误、密码保护匿域猜测、字典攻击、特定的错误页面检测、脆弱权限的目录和危险的 HTTP 方法（如：PUT、DELETE)等。由安全专家进行深入的手工测试和分析，识别弱点扫描工具或者脆弱性扫描工具无法发现的问题。主要分析内容包括逻辑设计缺陷、上传绕过、输入输出校验绕过、数据篡改、功能绕过、异常错误、逻辑漏洞、越权等以及其他专项内容测试与分析，了解应用系统可能存在的潜在漏洞以及发生漏洞利用时可能造成的危害，渗透结束后生成相关报告并提供修复建议。漏洞扫描不限次数。</w:t>
            </w:r>
          </w:p>
          <w:p>
            <w:pPr>
              <w:rPr>
                <w:rFonts w:hint="eastAsia" w:ascii="仿宋" w:hAnsi="仿宋" w:eastAsia="仿宋" w:cs="仿宋"/>
                <w:b/>
                <w:bCs/>
                <w:sz w:val="24"/>
                <w:szCs w:val="24"/>
              </w:rPr>
            </w:pPr>
            <w:r>
              <w:rPr>
                <w:rFonts w:hint="eastAsia" w:ascii="仿宋" w:hAnsi="仿宋" w:eastAsia="仿宋" w:cs="仿宋"/>
                <w:b/>
                <w:bCs/>
                <w:sz w:val="24"/>
                <w:szCs w:val="24"/>
              </w:rPr>
              <w:t>交付物：《渗透测试报告》</w:t>
            </w:r>
          </w:p>
          <w:p>
            <w:pPr>
              <w:rPr>
                <w:rFonts w:hint="eastAsia" w:ascii="仿宋" w:hAnsi="仿宋" w:eastAsia="仿宋" w:cs="仿宋"/>
                <w:sz w:val="24"/>
                <w:szCs w:val="24"/>
              </w:rPr>
            </w:pPr>
            <w:r>
              <w:rPr>
                <w:rFonts w:hint="eastAsia" w:ascii="仿宋" w:hAnsi="仿宋" w:eastAsia="仿宋" w:cs="仿宋"/>
                <w:b/>
                <w:bCs/>
                <w:sz w:val="24"/>
                <w:szCs w:val="24"/>
              </w:rPr>
              <w:t>服务频次：不低于20个系统</w:t>
            </w:r>
          </w:p>
        </w:tc>
        <w:tc>
          <w:tcPr>
            <w:tcW w:w="792"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一年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vMerge w:val="continue"/>
            <w:noWrap w:val="0"/>
            <w:vAlign w:val="top"/>
          </w:tcPr>
          <w:p>
            <w:pPr>
              <w:spacing w:line="360" w:lineRule="auto"/>
              <w:jc w:val="center"/>
              <w:rPr>
                <w:rFonts w:hint="eastAsia" w:ascii="仿宋" w:hAnsi="仿宋" w:eastAsia="仿宋" w:cs="仿宋"/>
                <w:sz w:val="24"/>
                <w:szCs w:val="24"/>
              </w:rPr>
            </w:pPr>
          </w:p>
        </w:tc>
        <w:tc>
          <w:tcPr>
            <w:tcW w:w="1213" w:type="dxa"/>
            <w:vMerge w:val="continue"/>
            <w:noWrap w:val="0"/>
            <w:vAlign w:val="top"/>
          </w:tcPr>
          <w:p>
            <w:pPr>
              <w:spacing w:line="360" w:lineRule="auto"/>
              <w:jc w:val="left"/>
              <w:rPr>
                <w:rFonts w:hint="eastAsia" w:ascii="仿宋" w:hAnsi="仿宋" w:eastAsia="仿宋" w:cs="仿宋"/>
                <w:sz w:val="24"/>
                <w:szCs w:val="24"/>
              </w:rPr>
            </w:pPr>
          </w:p>
        </w:tc>
        <w:tc>
          <w:tcPr>
            <w:tcW w:w="1616"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风险评估服务</w:t>
            </w:r>
          </w:p>
        </w:tc>
        <w:tc>
          <w:tcPr>
            <w:tcW w:w="5344"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通过全局的脆弱性评估、威胁评估和风险评估，掌握通过信息摸排、基线核查等手段对信息系统安全风险状况，以更好地满足国家、行业要求，并与信息系统自身安全保护需求结合起来，针对信息系统进行一次完整的风险评估，明确风险实际状况，并提出风险处置建议和风险评估报告。</w:t>
            </w:r>
          </w:p>
          <w:p>
            <w:pPr>
              <w:rPr>
                <w:rFonts w:hint="eastAsia" w:ascii="仿宋" w:hAnsi="仿宋" w:eastAsia="仿宋" w:cs="仿宋"/>
                <w:b/>
                <w:bCs/>
                <w:sz w:val="24"/>
                <w:szCs w:val="24"/>
              </w:rPr>
            </w:pPr>
            <w:r>
              <w:rPr>
                <w:rFonts w:hint="eastAsia" w:ascii="仿宋" w:hAnsi="仿宋" w:eastAsia="仿宋" w:cs="仿宋"/>
                <w:b/>
                <w:bCs/>
                <w:sz w:val="24"/>
                <w:szCs w:val="24"/>
              </w:rPr>
              <w:t>交付物：《风险评估报告》</w:t>
            </w:r>
          </w:p>
          <w:p>
            <w:pPr>
              <w:rPr>
                <w:rFonts w:hint="eastAsia" w:ascii="仿宋" w:hAnsi="仿宋" w:eastAsia="仿宋" w:cs="仿宋"/>
                <w:sz w:val="24"/>
                <w:szCs w:val="24"/>
              </w:rPr>
            </w:pPr>
            <w:r>
              <w:rPr>
                <w:rFonts w:hint="eastAsia" w:ascii="仿宋" w:hAnsi="仿宋" w:eastAsia="仿宋" w:cs="仿宋"/>
                <w:b/>
                <w:bCs/>
                <w:sz w:val="24"/>
                <w:szCs w:val="24"/>
              </w:rPr>
              <w:t>服务频次：不低于10个系统</w:t>
            </w:r>
          </w:p>
        </w:tc>
        <w:tc>
          <w:tcPr>
            <w:tcW w:w="792" w:type="dxa"/>
            <w:vMerge w:val="continue"/>
            <w:noWrap w:val="0"/>
            <w:vAlign w:val="top"/>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vMerge w:val="continue"/>
            <w:noWrap w:val="0"/>
            <w:vAlign w:val="top"/>
          </w:tcPr>
          <w:p>
            <w:pPr>
              <w:spacing w:line="360" w:lineRule="auto"/>
              <w:jc w:val="center"/>
              <w:rPr>
                <w:rFonts w:hint="eastAsia" w:ascii="仿宋" w:hAnsi="仿宋" w:eastAsia="仿宋" w:cs="仿宋"/>
                <w:sz w:val="24"/>
                <w:szCs w:val="24"/>
              </w:rPr>
            </w:pPr>
          </w:p>
        </w:tc>
        <w:tc>
          <w:tcPr>
            <w:tcW w:w="1213" w:type="dxa"/>
            <w:vMerge w:val="continue"/>
            <w:noWrap w:val="0"/>
            <w:vAlign w:val="top"/>
          </w:tcPr>
          <w:p>
            <w:pPr>
              <w:spacing w:line="360" w:lineRule="auto"/>
              <w:jc w:val="left"/>
              <w:rPr>
                <w:rFonts w:hint="eastAsia" w:ascii="仿宋" w:hAnsi="仿宋" w:eastAsia="仿宋" w:cs="仿宋"/>
                <w:sz w:val="24"/>
                <w:szCs w:val="24"/>
              </w:rPr>
            </w:pPr>
          </w:p>
        </w:tc>
        <w:tc>
          <w:tcPr>
            <w:tcW w:w="1616" w:type="dxa"/>
            <w:noWrap w:val="0"/>
            <w:vAlign w:val="center"/>
          </w:tcPr>
          <w:p>
            <w:pPr>
              <w:spacing w:line="360" w:lineRule="auto"/>
              <w:jc w:val="center"/>
              <w:rPr>
                <w:rFonts w:hint="eastAsia" w:ascii="仿宋" w:hAnsi="仿宋" w:eastAsia="仿宋" w:cs="仿宋"/>
                <w:sz w:val="24"/>
                <w:szCs w:val="24"/>
              </w:rPr>
            </w:pPr>
            <w:bookmarkStart w:id="1" w:name="_Hlk138066022"/>
            <w:r>
              <w:rPr>
                <w:rFonts w:hint="eastAsia" w:ascii="仿宋" w:hAnsi="仿宋" w:eastAsia="仿宋" w:cs="仿宋"/>
                <w:sz w:val="24"/>
                <w:szCs w:val="24"/>
              </w:rPr>
              <w:t>应急响应服务</w:t>
            </w:r>
            <w:bookmarkEnd w:id="1"/>
          </w:p>
        </w:tc>
        <w:tc>
          <w:tcPr>
            <w:tcW w:w="5344"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在出现重要安全事件时（如信息系统遭受攻击、网络病毒爆发等），派遣高级安服人员，通过远程和现场支持的形式协助采购人对遇到的突发性安全事件进行紧急分析和处理。主要工作内容包括：突发事件相关信息的收集、事件的分析、报告提交、问题解决建议等，协助用户解决突发安全事件，并提供应急响应报告。</w:t>
            </w:r>
          </w:p>
          <w:p>
            <w:pPr>
              <w:rPr>
                <w:rFonts w:hint="eastAsia" w:ascii="仿宋" w:hAnsi="仿宋" w:eastAsia="仿宋" w:cs="仿宋"/>
                <w:b/>
                <w:bCs/>
                <w:sz w:val="24"/>
                <w:szCs w:val="24"/>
              </w:rPr>
            </w:pPr>
            <w:r>
              <w:rPr>
                <w:rFonts w:hint="eastAsia" w:ascii="仿宋" w:hAnsi="仿宋" w:eastAsia="仿宋" w:cs="仿宋"/>
                <w:b/>
                <w:bCs/>
                <w:sz w:val="24"/>
                <w:szCs w:val="24"/>
              </w:rPr>
              <w:t>交付物：《应急响应技术服务单》，需客户签字</w:t>
            </w:r>
          </w:p>
          <w:p>
            <w:pPr>
              <w:rPr>
                <w:rFonts w:hint="eastAsia" w:ascii="仿宋" w:hAnsi="仿宋" w:eastAsia="仿宋" w:cs="仿宋"/>
                <w:sz w:val="24"/>
                <w:szCs w:val="24"/>
              </w:rPr>
            </w:pPr>
            <w:r>
              <w:rPr>
                <w:rFonts w:hint="eastAsia" w:ascii="仿宋" w:hAnsi="仿宋" w:eastAsia="仿宋" w:cs="仿宋"/>
                <w:b/>
                <w:bCs/>
                <w:sz w:val="24"/>
                <w:szCs w:val="24"/>
              </w:rPr>
              <w:t>服务频次：4次</w:t>
            </w:r>
          </w:p>
        </w:tc>
        <w:tc>
          <w:tcPr>
            <w:tcW w:w="792" w:type="dxa"/>
            <w:vMerge w:val="continue"/>
            <w:noWrap w:val="0"/>
            <w:vAlign w:val="top"/>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vMerge w:val="continue"/>
            <w:noWrap w:val="0"/>
            <w:vAlign w:val="top"/>
          </w:tcPr>
          <w:p>
            <w:pPr>
              <w:spacing w:line="360" w:lineRule="auto"/>
              <w:jc w:val="center"/>
              <w:rPr>
                <w:rFonts w:hint="eastAsia" w:ascii="仿宋" w:hAnsi="仿宋" w:eastAsia="仿宋" w:cs="仿宋"/>
                <w:sz w:val="24"/>
                <w:szCs w:val="24"/>
              </w:rPr>
            </w:pPr>
          </w:p>
        </w:tc>
        <w:tc>
          <w:tcPr>
            <w:tcW w:w="1213" w:type="dxa"/>
            <w:vMerge w:val="continue"/>
            <w:noWrap w:val="0"/>
            <w:vAlign w:val="top"/>
          </w:tcPr>
          <w:p>
            <w:pPr>
              <w:spacing w:line="360" w:lineRule="auto"/>
              <w:jc w:val="left"/>
              <w:rPr>
                <w:rFonts w:hint="eastAsia" w:ascii="仿宋" w:hAnsi="仿宋" w:eastAsia="仿宋" w:cs="仿宋"/>
                <w:sz w:val="24"/>
                <w:szCs w:val="24"/>
              </w:rPr>
            </w:pPr>
          </w:p>
        </w:tc>
        <w:tc>
          <w:tcPr>
            <w:tcW w:w="1616"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网站监测服务</w:t>
            </w:r>
          </w:p>
        </w:tc>
        <w:tc>
          <w:tcPr>
            <w:tcW w:w="5344"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通过对目标站点进行 7×24 小时不间断的页面爬取、分析、匹配，主动实时的发现网站的风险隐患，并及时采取修补措施，对采购人指定网站进行远程安全监测、安全检查、实时告警。网站安全监测服务主要包括以下几方面的内容：</w:t>
            </w:r>
          </w:p>
          <w:p>
            <w:pPr>
              <w:pStyle w:val="5"/>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远程网站漏洞扫描：通过远程网站漏洞扫描服务，由供应商提供的网络安全专家每月 1 次定期进行网站结构分析、漏洞分析，获知网站系统层和应用层的漏洞情况，以及对修补漏洞的安全建议。</w:t>
            </w:r>
          </w:p>
          <w:p>
            <w:pPr>
              <w:pStyle w:val="5"/>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远程网页木马监测：基于安全云平台，采用智能木马检测技术，高效、准确的识别网站页面中的恶意代码，使网站管理员能够第一时间得知网站的安全状态</w:t>
            </w:r>
          </w:p>
          <w:p>
            <w:pPr>
              <w:pStyle w:val="5"/>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网页敏感内容监测：实时监测网站是否出现一些敏感关键字，如果发现敏感内容，在第一时间通知采购人。采购人也可以自定义所关心的敏感关键字。</w:t>
            </w:r>
          </w:p>
          <w:p>
            <w:pPr>
              <w:pStyle w:val="5"/>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网站平稳度检测：对网站进行实时远程访问平稳度的动态监视，跟踪访问平稳度动态变化情况，并根据严重程度及时发出报警信号。</w:t>
            </w:r>
          </w:p>
          <w:p>
            <w:pPr>
              <w:pStyle w:val="5"/>
              <w:numPr>
                <w:ilvl w:val="0"/>
                <w:numId w:val="1"/>
              </w:numPr>
              <w:ind w:firstLineChars="0"/>
              <w:rPr>
                <w:rFonts w:hint="eastAsia" w:ascii="仿宋" w:hAnsi="仿宋" w:eastAsia="仿宋" w:cs="仿宋"/>
                <w:sz w:val="24"/>
                <w:szCs w:val="24"/>
              </w:rPr>
            </w:pPr>
            <w:r>
              <w:rPr>
                <w:rFonts w:hint="eastAsia" w:ascii="仿宋" w:hAnsi="仿宋" w:eastAsia="仿宋" w:cs="仿宋"/>
                <w:sz w:val="24"/>
                <w:szCs w:val="24"/>
              </w:rPr>
              <w:t>网页篡改监测：实时监测网站页面状况，如发现页面被篡改情况，第一时间通知采购人。</w:t>
            </w:r>
          </w:p>
          <w:p>
            <w:pPr>
              <w:pStyle w:val="5"/>
              <w:ind w:firstLine="0" w:firstLineChars="0"/>
              <w:rPr>
                <w:rFonts w:hint="eastAsia" w:ascii="仿宋" w:hAnsi="仿宋" w:eastAsia="仿宋" w:cs="仿宋"/>
                <w:b/>
                <w:bCs/>
                <w:sz w:val="24"/>
                <w:szCs w:val="24"/>
              </w:rPr>
            </w:pPr>
            <w:r>
              <w:rPr>
                <w:rFonts w:hint="eastAsia" w:ascii="仿宋" w:hAnsi="仿宋" w:eastAsia="仿宋" w:cs="仿宋"/>
                <w:b/>
                <w:bCs/>
                <w:sz w:val="24"/>
                <w:szCs w:val="24"/>
              </w:rPr>
              <w:t>交付物：《网站监测报告》-每周一次</w:t>
            </w:r>
          </w:p>
          <w:p>
            <w:pPr>
              <w:rPr>
                <w:rFonts w:hint="eastAsia" w:ascii="仿宋" w:hAnsi="仿宋" w:eastAsia="仿宋" w:cs="仿宋"/>
                <w:sz w:val="24"/>
                <w:szCs w:val="24"/>
              </w:rPr>
            </w:pPr>
            <w:r>
              <w:rPr>
                <w:rFonts w:hint="eastAsia" w:ascii="仿宋" w:hAnsi="仿宋" w:eastAsia="仿宋" w:cs="仿宋"/>
                <w:b/>
                <w:bCs/>
                <w:sz w:val="24"/>
                <w:szCs w:val="24"/>
              </w:rPr>
              <w:t>服务频次： 不低于个站点</w:t>
            </w:r>
          </w:p>
        </w:tc>
        <w:tc>
          <w:tcPr>
            <w:tcW w:w="792" w:type="dxa"/>
            <w:vMerge w:val="continue"/>
            <w:noWrap w:val="0"/>
            <w:vAlign w:val="top"/>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vMerge w:val="continue"/>
            <w:noWrap w:val="0"/>
            <w:vAlign w:val="top"/>
          </w:tcPr>
          <w:p>
            <w:pPr>
              <w:spacing w:line="360" w:lineRule="auto"/>
              <w:jc w:val="center"/>
              <w:rPr>
                <w:rFonts w:hint="eastAsia" w:ascii="仿宋" w:hAnsi="仿宋" w:eastAsia="仿宋" w:cs="仿宋"/>
                <w:sz w:val="24"/>
                <w:szCs w:val="24"/>
              </w:rPr>
            </w:pPr>
          </w:p>
        </w:tc>
        <w:tc>
          <w:tcPr>
            <w:tcW w:w="1213" w:type="dxa"/>
            <w:vMerge w:val="continue"/>
            <w:noWrap w:val="0"/>
            <w:vAlign w:val="top"/>
          </w:tcPr>
          <w:p>
            <w:pPr>
              <w:spacing w:line="360" w:lineRule="auto"/>
              <w:jc w:val="left"/>
              <w:rPr>
                <w:rFonts w:hint="eastAsia" w:ascii="仿宋" w:hAnsi="仿宋" w:eastAsia="仿宋" w:cs="仿宋"/>
                <w:sz w:val="24"/>
                <w:szCs w:val="24"/>
              </w:rPr>
            </w:pPr>
          </w:p>
        </w:tc>
        <w:tc>
          <w:tcPr>
            <w:tcW w:w="1616"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重保值守服务</w:t>
            </w:r>
          </w:p>
        </w:tc>
        <w:tc>
          <w:tcPr>
            <w:tcW w:w="5344"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根据学校实际业务场景和安全需求制定安全保障计划，协助学校圆满完成重大会议或信息安全保障任务。重要时期安全保障服务内容贯穿事前、事中和事后三个阶段，其中事前包括互联网暴露面扫描探测、漏洞扫描、渗透测试、安全基线检查、安全设备策略检查、综合安全能力评估、安全整改加固、应急预案编制、应急演练、安全培训、安全设备补充完善；事中包括现场安全值守、网站安全监测、定期安全巡检、安全事件分析、应急响应与处置；事后包括安全保障处置报告与建议。</w:t>
            </w:r>
          </w:p>
          <w:p>
            <w:pPr>
              <w:rPr>
                <w:rFonts w:hint="eastAsia" w:ascii="仿宋" w:hAnsi="仿宋" w:eastAsia="仿宋" w:cs="仿宋"/>
                <w:b/>
                <w:bCs/>
                <w:sz w:val="24"/>
                <w:szCs w:val="24"/>
              </w:rPr>
            </w:pPr>
            <w:r>
              <w:rPr>
                <w:rFonts w:hint="eastAsia" w:ascii="仿宋" w:hAnsi="仿宋" w:eastAsia="仿宋" w:cs="仿宋"/>
                <w:b/>
                <w:bCs/>
                <w:sz w:val="24"/>
                <w:szCs w:val="24"/>
              </w:rPr>
              <w:t>交付物：《现场重保值守签到表》，需客户签字</w:t>
            </w:r>
          </w:p>
          <w:p>
            <w:pPr>
              <w:rPr>
                <w:rFonts w:hint="eastAsia" w:ascii="仿宋" w:hAnsi="仿宋" w:eastAsia="仿宋" w:cs="仿宋"/>
                <w:sz w:val="24"/>
                <w:szCs w:val="24"/>
              </w:rPr>
            </w:pPr>
            <w:r>
              <w:rPr>
                <w:rFonts w:hint="eastAsia" w:ascii="仿宋" w:hAnsi="仿宋" w:eastAsia="仿宋" w:cs="仿宋"/>
                <w:b/>
                <w:bCs/>
                <w:sz w:val="24"/>
                <w:szCs w:val="24"/>
              </w:rPr>
              <w:t>服务频次：50人/天</w:t>
            </w:r>
          </w:p>
        </w:tc>
        <w:tc>
          <w:tcPr>
            <w:tcW w:w="792" w:type="dxa"/>
            <w:vMerge w:val="restart"/>
            <w:noWrap w:val="0"/>
            <w:vAlign w:val="top"/>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vMerge w:val="continue"/>
            <w:noWrap w:val="0"/>
            <w:vAlign w:val="top"/>
          </w:tcPr>
          <w:p>
            <w:pPr>
              <w:spacing w:line="360" w:lineRule="auto"/>
              <w:jc w:val="center"/>
              <w:rPr>
                <w:rFonts w:hint="eastAsia" w:ascii="仿宋" w:hAnsi="仿宋" w:eastAsia="仿宋" w:cs="仿宋"/>
                <w:sz w:val="24"/>
                <w:szCs w:val="24"/>
              </w:rPr>
            </w:pPr>
          </w:p>
        </w:tc>
        <w:tc>
          <w:tcPr>
            <w:tcW w:w="1213" w:type="dxa"/>
            <w:vMerge w:val="continue"/>
            <w:noWrap w:val="0"/>
            <w:vAlign w:val="top"/>
          </w:tcPr>
          <w:p>
            <w:pPr>
              <w:spacing w:line="360" w:lineRule="auto"/>
              <w:jc w:val="left"/>
              <w:rPr>
                <w:rFonts w:hint="eastAsia" w:ascii="仿宋" w:hAnsi="仿宋" w:eastAsia="仿宋" w:cs="仿宋"/>
                <w:sz w:val="24"/>
                <w:szCs w:val="24"/>
              </w:rPr>
            </w:pPr>
          </w:p>
        </w:tc>
        <w:tc>
          <w:tcPr>
            <w:tcW w:w="1616"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安全巡检服务</w:t>
            </w:r>
          </w:p>
        </w:tc>
        <w:tc>
          <w:tcPr>
            <w:tcW w:w="5344" w:type="dxa"/>
            <w:noWrap w:val="0"/>
            <w:vAlign w:val="top"/>
          </w:tcPr>
          <w:p>
            <w:pPr>
              <w:pStyle w:val="5"/>
              <w:numPr>
                <w:ilvl w:val="0"/>
                <w:numId w:val="2"/>
              </w:numPr>
              <w:ind w:firstLineChars="0"/>
              <w:rPr>
                <w:rFonts w:hint="eastAsia" w:ascii="仿宋" w:hAnsi="仿宋" w:eastAsia="仿宋" w:cs="仿宋"/>
                <w:sz w:val="24"/>
                <w:szCs w:val="24"/>
              </w:rPr>
            </w:pPr>
            <w:r>
              <w:rPr>
                <w:rFonts w:hint="eastAsia" w:ascii="仿宋" w:hAnsi="仿宋" w:eastAsia="仿宋" w:cs="仿宋"/>
                <w:sz w:val="24"/>
                <w:szCs w:val="24"/>
              </w:rPr>
              <w:t>以环境稳定性、安全性为目标针对主机、网络及安全设备进行深入、严谨的日常性安全检查，服务内容包括日志分析、策略优化和状态检查，并提供可视化报告和统计</w:t>
            </w:r>
          </w:p>
          <w:p>
            <w:pPr>
              <w:rPr>
                <w:rFonts w:hint="eastAsia" w:ascii="仿宋" w:hAnsi="仿宋" w:eastAsia="仿宋" w:cs="仿宋"/>
                <w:b/>
                <w:bCs/>
                <w:sz w:val="24"/>
                <w:szCs w:val="24"/>
              </w:rPr>
            </w:pPr>
            <w:r>
              <w:rPr>
                <w:rFonts w:hint="eastAsia" w:ascii="仿宋" w:hAnsi="仿宋" w:eastAsia="仿宋" w:cs="仿宋"/>
                <w:b/>
                <w:bCs/>
                <w:sz w:val="24"/>
                <w:szCs w:val="24"/>
              </w:rPr>
              <w:t>交付物：《安全巡检技术服务单》，需客户签字</w:t>
            </w:r>
          </w:p>
          <w:p>
            <w:pPr>
              <w:rPr>
                <w:rFonts w:hint="eastAsia" w:ascii="仿宋" w:hAnsi="仿宋" w:eastAsia="仿宋" w:cs="仿宋"/>
                <w:sz w:val="24"/>
                <w:szCs w:val="24"/>
              </w:rPr>
            </w:pPr>
            <w:r>
              <w:rPr>
                <w:rFonts w:hint="eastAsia" w:ascii="仿宋" w:hAnsi="仿宋" w:eastAsia="仿宋" w:cs="仿宋"/>
                <w:b/>
                <w:bCs/>
                <w:sz w:val="24"/>
                <w:szCs w:val="24"/>
              </w:rPr>
              <w:t>服务频次：12次</w:t>
            </w:r>
          </w:p>
        </w:tc>
        <w:tc>
          <w:tcPr>
            <w:tcW w:w="792" w:type="dxa"/>
            <w:vMerge w:val="continue"/>
            <w:noWrap w:val="0"/>
            <w:vAlign w:val="top"/>
          </w:tcPr>
          <w:p>
            <w:pP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3" w:type="dxa"/>
            <w:vMerge w:val="continue"/>
            <w:noWrap w:val="0"/>
            <w:vAlign w:val="top"/>
          </w:tcPr>
          <w:p>
            <w:pPr>
              <w:spacing w:line="360" w:lineRule="auto"/>
              <w:jc w:val="center"/>
              <w:rPr>
                <w:rFonts w:hint="eastAsia" w:ascii="仿宋" w:hAnsi="仿宋" w:eastAsia="仿宋" w:cs="仿宋"/>
                <w:sz w:val="24"/>
                <w:szCs w:val="24"/>
              </w:rPr>
            </w:pPr>
          </w:p>
        </w:tc>
        <w:tc>
          <w:tcPr>
            <w:tcW w:w="1213" w:type="dxa"/>
            <w:vMerge w:val="continue"/>
            <w:noWrap w:val="0"/>
            <w:vAlign w:val="top"/>
          </w:tcPr>
          <w:p>
            <w:pPr>
              <w:spacing w:line="360" w:lineRule="auto"/>
              <w:jc w:val="left"/>
              <w:rPr>
                <w:rFonts w:hint="eastAsia" w:ascii="仿宋" w:hAnsi="仿宋" w:eastAsia="仿宋" w:cs="仿宋"/>
                <w:sz w:val="24"/>
                <w:szCs w:val="24"/>
              </w:rPr>
            </w:pPr>
          </w:p>
        </w:tc>
        <w:tc>
          <w:tcPr>
            <w:tcW w:w="1616"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驻场运维服务</w:t>
            </w:r>
          </w:p>
        </w:tc>
        <w:tc>
          <w:tcPr>
            <w:tcW w:w="5344" w:type="dxa"/>
            <w:noWrap w:val="0"/>
            <w:vAlign w:val="top"/>
          </w:tcPr>
          <w:p>
            <w:pPr>
              <w:rPr>
                <w:rFonts w:hint="eastAsia" w:ascii="仿宋" w:hAnsi="仿宋" w:eastAsia="仿宋" w:cs="仿宋"/>
                <w:sz w:val="24"/>
                <w:szCs w:val="24"/>
              </w:rPr>
            </w:pPr>
            <w:r>
              <w:rPr>
                <w:rFonts w:hint="eastAsia" w:ascii="仿宋" w:hAnsi="仿宋" w:eastAsia="仿宋" w:cs="仿宋"/>
                <w:sz w:val="24"/>
                <w:szCs w:val="24"/>
              </w:rPr>
              <w:t>提供网络安全服务工程师（CISP）一名，包括不限于网络安全应急事件处理，网络安全监控，网络安全培训，网络安全策略调整，网络安全资产管理，网络安全材料撰写等与网络安全相关服务事宜。根据安全值守的实际情况，将安全值守分为进场、驻场和离场三个过程，各个阶段的描述如下：</w:t>
            </w:r>
          </w:p>
          <w:p>
            <w:pPr>
              <w:numPr>
                <w:ilvl w:val="0"/>
                <w:numId w:val="3"/>
              </w:numPr>
              <w:rPr>
                <w:rFonts w:hint="eastAsia" w:ascii="仿宋" w:hAnsi="仿宋" w:eastAsia="仿宋" w:cs="仿宋"/>
                <w:sz w:val="24"/>
                <w:szCs w:val="24"/>
              </w:rPr>
            </w:pPr>
            <w:r>
              <w:rPr>
                <w:rFonts w:hint="eastAsia" w:ascii="仿宋" w:hAnsi="仿宋" w:eastAsia="仿宋" w:cs="仿宋"/>
                <w:sz w:val="24"/>
                <w:szCs w:val="24"/>
              </w:rPr>
              <w:t>进场</w:t>
            </w:r>
          </w:p>
          <w:p>
            <w:pPr>
              <w:pStyle w:val="6"/>
              <w:spacing w:line="240" w:lineRule="auto"/>
              <w:ind w:firstLine="440"/>
              <w:rPr>
                <w:rFonts w:hint="eastAsia" w:ascii="仿宋" w:hAnsi="仿宋" w:eastAsia="仿宋" w:cs="仿宋"/>
                <w:kern w:val="2"/>
                <w:sz w:val="24"/>
                <w:szCs w:val="24"/>
              </w:rPr>
            </w:pPr>
            <w:r>
              <w:rPr>
                <w:rFonts w:hint="eastAsia" w:ascii="仿宋" w:hAnsi="仿宋" w:eastAsia="仿宋" w:cs="仿宋"/>
                <w:kern w:val="2"/>
                <w:sz w:val="24"/>
                <w:szCs w:val="24"/>
              </w:rPr>
              <w:t>进场阶段为熟悉相关环境，接口人员，为驻场做好响应的准备。</w:t>
            </w:r>
          </w:p>
          <w:p>
            <w:pPr>
              <w:numPr>
                <w:ilvl w:val="0"/>
                <w:numId w:val="3"/>
              </w:numPr>
              <w:rPr>
                <w:rFonts w:hint="eastAsia" w:ascii="仿宋" w:hAnsi="仿宋" w:eastAsia="仿宋" w:cs="仿宋"/>
                <w:sz w:val="24"/>
                <w:szCs w:val="24"/>
              </w:rPr>
            </w:pPr>
            <w:r>
              <w:rPr>
                <w:rFonts w:hint="eastAsia" w:ascii="仿宋" w:hAnsi="仿宋" w:eastAsia="仿宋" w:cs="仿宋"/>
                <w:sz w:val="24"/>
                <w:szCs w:val="24"/>
              </w:rPr>
              <w:t>驻场</w:t>
            </w:r>
          </w:p>
          <w:p>
            <w:pPr>
              <w:pStyle w:val="6"/>
              <w:spacing w:line="240" w:lineRule="auto"/>
              <w:ind w:firstLine="440"/>
              <w:rPr>
                <w:rFonts w:hint="eastAsia" w:ascii="仿宋" w:hAnsi="仿宋" w:eastAsia="仿宋" w:cs="仿宋"/>
                <w:kern w:val="2"/>
                <w:sz w:val="24"/>
                <w:szCs w:val="24"/>
              </w:rPr>
            </w:pPr>
            <w:r>
              <w:rPr>
                <w:rFonts w:hint="eastAsia" w:ascii="仿宋" w:hAnsi="仿宋" w:eastAsia="仿宋" w:cs="仿宋"/>
                <w:kern w:val="2"/>
                <w:sz w:val="24"/>
                <w:szCs w:val="24"/>
              </w:rPr>
              <w:t>工作内容为监控、安全加固、应急响应等，凡是涉及到信息系统的运维安全的工作都是安全值守工程师的工作重点。</w:t>
            </w:r>
          </w:p>
          <w:p>
            <w:pPr>
              <w:numPr>
                <w:ilvl w:val="0"/>
                <w:numId w:val="3"/>
              </w:numPr>
              <w:rPr>
                <w:rFonts w:hint="eastAsia" w:ascii="仿宋" w:hAnsi="仿宋" w:eastAsia="仿宋" w:cs="仿宋"/>
                <w:sz w:val="24"/>
                <w:szCs w:val="24"/>
              </w:rPr>
            </w:pPr>
            <w:r>
              <w:rPr>
                <w:rFonts w:hint="eastAsia" w:ascii="仿宋" w:hAnsi="仿宋" w:eastAsia="仿宋" w:cs="仿宋"/>
                <w:sz w:val="24"/>
                <w:szCs w:val="24"/>
              </w:rPr>
              <w:t>离场</w:t>
            </w:r>
          </w:p>
          <w:p>
            <w:pPr>
              <w:pStyle w:val="6"/>
              <w:spacing w:line="240" w:lineRule="auto"/>
              <w:ind w:firstLine="440"/>
              <w:rPr>
                <w:rFonts w:hint="eastAsia" w:ascii="仿宋" w:hAnsi="仿宋" w:eastAsia="仿宋" w:cs="仿宋"/>
                <w:kern w:val="2"/>
                <w:sz w:val="24"/>
                <w:szCs w:val="24"/>
              </w:rPr>
            </w:pPr>
            <w:r>
              <w:rPr>
                <w:rFonts w:hint="eastAsia" w:ascii="仿宋" w:hAnsi="仿宋" w:eastAsia="仿宋" w:cs="仿宋"/>
                <w:kern w:val="2"/>
                <w:sz w:val="24"/>
                <w:szCs w:val="24"/>
              </w:rPr>
              <w:t>安全值守任务后，需要交接相应的工作，按照保密协议和事先约定进行离场。</w:t>
            </w:r>
          </w:p>
          <w:p>
            <w:pPr>
              <w:rPr>
                <w:rFonts w:hint="eastAsia" w:ascii="仿宋" w:hAnsi="仿宋" w:eastAsia="仿宋" w:cs="仿宋"/>
                <w:b/>
                <w:bCs/>
                <w:sz w:val="24"/>
                <w:szCs w:val="24"/>
              </w:rPr>
            </w:pPr>
            <w:r>
              <w:rPr>
                <w:rFonts w:hint="eastAsia" w:ascii="仿宋" w:hAnsi="仿宋" w:eastAsia="仿宋" w:cs="仿宋"/>
                <w:b/>
                <w:bCs/>
                <w:sz w:val="24"/>
                <w:szCs w:val="24"/>
              </w:rPr>
              <w:t>交付物：《驻场运维服务单》，需客户签字</w:t>
            </w:r>
          </w:p>
          <w:p>
            <w:pPr>
              <w:rPr>
                <w:rFonts w:hint="eastAsia" w:ascii="仿宋" w:hAnsi="仿宋" w:eastAsia="仿宋" w:cs="仿宋"/>
                <w:sz w:val="24"/>
                <w:szCs w:val="24"/>
              </w:rPr>
            </w:pPr>
            <w:r>
              <w:rPr>
                <w:rFonts w:hint="eastAsia" w:ascii="仿宋" w:hAnsi="仿宋" w:eastAsia="仿宋" w:cs="仿宋"/>
                <w:b/>
                <w:bCs/>
                <w:sz w:val="24"/>
                <w:szCs w:val="24"/>
              </w:rPr>
              <w:t>服务频次：每周1人/天</w:t>
            </w:r>
          </w:p>
        </w:tc>
        <w:tc>
          <w:tcPr>
            <w:tcW w:w="792" w:type="dxa"/>
            <w:noWrap w:val="0"/>
            <w:vAlign w:val="top"/>
          </w:tcPr>
          <w:p>
            <w:pPr>
              <w:rPr>
                <w:rFonts w:hint="eastAsia" w:ascii="仿宋" w:hAnsi="仿宋" w:eastAsia="仿宋" w:cs="仿宋"/>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513C4"/>
    <w:multiLevelType w:val="multilevel"/>
    <w:tmpl w:val="0E5513C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B3733BA"/>
    <w:multiLevelType w:val="multilevel"/>
    <w:tmpl w:val="1B3733B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0BF7943"/>
    <w:multiLevelType w:val="multilevel"/>
    <w:tmpl w:val="20BF7943"/>
    <w:lvl w:ilvl="0" w:tentative="0">
      <w:start w:val="1"/>
      <w:numFmt w:val="bullet"/>
      <w:lvlText w:val=""/>
      <w:lvlJc w:val="left"/>
      <w:pPr>
        <w:tabs>
          <w:tab w:val="left" w:pos="945"/>
        </w:tabs>
        <w:ind w:left="945" w:hanging="420"/>
      </w:pPr>
      <w:rPr>
        <w:rFonts w:hint="default" w:ascii="Wingdings" w:hAnsi="Wingdings"/>
        <w:color w:val="auto"/>
        <w:sz w:val="24"/>
        <w:lang w:val="zh-C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OTE1YzY4NDQ4M2MzYWI5YmI1MTYxM2ExY2FlNGQifQ=="/>
  </w:docVars>
  <w:rsids>
    <w:rsidRoot w:val="04A35D5A"/>
    <w:rsid w:val="04A35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rPr>
      <w:rFonts w:ascii="宋体"/>
      <w:sz w:val="32"/>
      <w:szCs w:val="20"/>
    </w:rPr>
  </w:style>
  <w:style w:type="paragraph" w:styleId="5">
    <w:name w:val="List Paragraph"/>
    <w:basedOn w:val="1"/>
    <w:qFormat/>
    <w:uiPriority w:val="1"/>
    <w:pPr>
      <w:ind w:firstLine="420" w:firstLineChars="200"/>
    </w:pPr>
  </w:style>
  <w:style w:type="paragraph" w:customStyle="1" w:styleId="6">
    <w:name w:val="普通段落"/>
    <w:qFormat/>
    <w:uiPriority w:val="0"/>
    <w:pPr>
      <w:widowControl w:val="0"/>
      <w:adjustRightInd w:val="0"/>
      <w:spacing w:line="360" w:lineRule="auto"/>
      <w:ind w:firstLine="480" w:firstLineChars="200"/>
      <w:jc w:val="both"/>
      <w:textAlignment w:val="baseline"/>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2023-07-10T03:07:00Z</dcterms:created>
  <dc:creator>君子不愠</dc:creator>
  <cp:lastModifiedBy>君子不愠</cp:lastModifiedBy>
  <dcterms:modified xsi:type="dcterms:W3CDTF">2023-07-10T03:08:22Z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2A77153E58124CF1A9059F723DDA4124_11</vt:lpwstr>
  </property>
</Properties>
</file>