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b/>
          <w:sz w:val="32"/>
          <w:szCs w:val="32"/>
        </w:rPr>
      </w:pPr>
      <w:r>
        <w:rPr>
          <w:rFonts w:hint="eastAsia"/>
          <w:lang w:val="en-US" w:eastAsia="zh-CN"/>
        </w:rPr>
        <w:drawing>
          <wp:anchor distT="0" distB="0" distL="114300" distR="114300" simplePos="0" relativeHeight="251660288" behindDoc="0" locked="0" layoutInCell="1" allowOverlap="1">
            <wp:simplePos x="0" y="0"/>
            <wp:positionH relativeFrom="column">
              <wp:posOffset>-1168400</wp:posOffset>
            </wp:positionH>
            <wp:positionV relativeFrom="paragraph">
              <wp:posOffset>-883920</wp:posOffset>
            </wp:positionV>
            <wp:extent cx="7559675" cy="10660380"/>
            <wp:effectExtent l="0" t="0" r="3175" b="7620"/>
            <wp:wrapTopAndBottom/>
            <wp:docPr id="5" name="图片 5" descr="lADPD4PvKxBtS8LNDbbNCbE_2481_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ADPD4PvKxBtS8LNDbbNCbE_2481_3510"/>
                    <pic:cNvPicPr>
                      <a:picLocks noChangeAspect="1"/>
                    </pic:cNvPicPr>
                  </pic:nvPicPr>
                  <pic:blipFill>
                    <a:blip r:embed="rId6"/>
                    <a:stretch>
                      <a:fillRect/>
                    </a:stretch>
                  </pic:blipFill>
                  <pic:spPr>
                    <a:xfrm>
                      <a:off x="0" y="0"/>
                      <a:ext cx="7559675" cy="10660380"/>
                    </a:xfrm>
                    <a:prstGeom prst="rect">
                      <a:avLst/>
                    </a:prstGeom>
                  </pic:spPr>
                </pic:pic>
              </a:graphicData>
            </a:graphic>
          </wp:anchor>
        </w:drawing>
      </w:r>
      <w:r>
        <w:br w:type="page"/>
      </w:r>
    </w:p>
    <w:p>
      <w:pPr>
        <w:spacing w:line="520" w:lineRule="exact"/>
        <w:jc w:val="center"/>
        <w:rPr>
          <w:rFonts w:ascii="黑体" w:hAnsi="仿宋" w:eastAsia="黑体"/>
          <w:b/>
          <w:sz w:val="44"/>
          <w:szCs w:val="44"/>
        </w:rPr>
      </w:pPr>
      <w:r>
        <w:rPr>
          <w:rFonts w:hint="eastAsia" w:ascii="黑体" w:hAnsi="仿宋" w:eastAsia="黑体"/>
          <w:b/>
          <w:sz w:val="44"/>
          <w:szCs w:val="44"/>
        </w:rPr>
        <w:t>目</w:t>
      </w:r>
      <w:r>
        <w:rPr>
          <w:rFonts w:ascii="黑体" w:hAnsi="仿宋" w:eastAsia="黑体"/>
          <w:b/>
          <w:sz w:val="44"/>
          <w:szCs w:val="44"/>
        </w:rPr>
        <w:t xml:space="preserve">    </w:t>
      </w:r>
      <w:r>
        <w:rPr>
          <w:rFonts w:hint="eastAsia" w:ascii="黑体" w:hAnsi="仿宋" w:eastAsia="黑体"/>
          <w:b/>
          <w:sz w:val="44"/>
          <w:szCs w:val="44"/>
        </w:rPr>
        <w:t>录</w:t>
      </w:r>
    </w:p>
    <w:p>
      <w:pPr>
        <w:spacing w:line="520" w:lineRule="exact"/>
        <w:jc w:val="center"/>
        <w:rPr>
          <w:rFonts w:ascii="黑体" w:hAnsi="仿宋" w:eastAsia="黑体"/>
          <w:b/>
          <w:sz w:val="44"/>
          <w:szCs w:val="44"/>
        </w:rPr>
      </w:pPr>
    </w:p>
    <w:p>
      <w:pPr>
        <w:pStyle w:val="15"/>
        <w:tabs>
          <w:tab w:val="right" w:leader="dot" w:pos="8306"/>
        </w:tabs>
        <w:rPr>
          <w:rFonts w:hint="eastAsia" w:ascii="仿宋" w:hAnsi="仿宋" w:eastAsia="仿宋" w:cs="仿宋"/>
          <w:sz w:val="32"/>
          <w:szCs w:val="32"/>
        </w:rPr>
      </w:pPr>
      <w:r>
        <w:rPr>
          <w:rFonts w:hint="eastAsia" w:ascii="楷体" w:hAnsi="楷体" w:eastAsia="楷体" w:cs="楷体"/>
          <w:b/>
          <w:bCs/>
          <w:sz w:val="32"/>
          <w:szCs w:val="32"/>
        </w:rPr>
        <w:fldChar w:fldCharType="begin"/>
      </w:r>
      <w:r>
        <w:rPr>
          <w:rFonts w:hint="eastAsia" w:ascii="楷体" w:hAnsi="楷体" w:eastAsia="楷体" w:cs="楷体"/>
          <w:b/>
          <w:bCs/>
          <w:sz w:val="32"/>
          <w:szCs w:val="32"/>
        </w:rPr>
        <w:instrText xml:space="preserve"> TOC \o "1-3" \h \z \u </w:instrText>
      </w:r>
      <w:r>
        <w:rPr>
          <w:rFonts w:hint="eastAsia" w:ascii="楷体" w:hAnsi="楷体" w:eastAsia="楷体" w:cs="楷体"/>
          <w:b/>
          <w:bCs/>
          <w:sz w:val="32"/>
          <w:szCs w:val="32"/>
        </w:rPr>
        <w:fldChar w:fldCharType="separate"/>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_Toc26206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一、学校概况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_Toc26206 </w:instrText>
      </w:r>
      <w:r>
        <w:rPr>
          <w:rFonts w:hint="eastAsia" w:ascii="仿宋" w:hAnsi="仿宋" w:eastAsia="仿宋" w:cs="仿宋"/>
          <w:sz w:val="32"/>
          <w:szCs w:val="32"/>
        </w:rPr>
        <w:fldChar w:fldCharType="separate"/>
      </w:r>
      <w:r>
        <w:rPr>
          <w:rFonts w:hint="eastAsia" w:ascii="仿宋" w:hAnsi="仿宋" w:eastAsia="仿宋" w:cs="仿宋"/>
          <w:sz w:val="32"/>
          <w:szCs w:val="32"/>
        </w:rPr>
        <w:t>- 3 -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5"/>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_Toc21219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二、迎评工作的基本情况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_Toc21219 </w:instrText>
      </w:r>
      <w:r>
        <w:rPr>
          <w:rFonts w:hint="eastAsia" w:ascii="仿宋" w:hAnsi="仿宋" w:eastAsia="仿宋" w:cs="仿宋"/>
          <w:sz w:val="32"/>
          <w:szCs w:val="32"/>
        </w:rPr>
        <w:fldChar w:fldCharType="separate"/>
      </w:r>
      <w:r>
        <w:rPr>
          <w:rFonts w:hint="eastAsia" w:ascii="仿宋" w:hAnsi="仿宋" w:eastAsia="仿宋" w:cs="仿宋"/>
          <w:sz w:val="32"/>
          <w:szCs w:val="32"/>
        </w:rPr>
        <w:t>- 4 -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7"/>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_Toc6421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rPr>
        <w:t>（一）高度重视，强化组织领导</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_Toc6421 </w:instrText>
      </w:r>
      <w:r>
        <w:rPr>
          <w:rFonts w:hint="eastAsia" w:ascii="仿宋" w:hAnsi="仿宋" w:eastAsia="仿宋" w:cs="仿宋"/>
          <w:sz w:val="32"/>
          <w:szCs w:val="32"/>
        </w:rPr>
        <w:fldChar w:fldCharType="separate"/>
      </w:r>
      <w:r>
        <w:rPr>
          <w:rFonts w:hint="eastAsia" w:ascii="仿宋" w:hAnsi="仿宋" w:eastAsia="仿宋" w:cs="仿宋"/>
          <w:sz w:val="32"/>
          <w:szCs w:val="32"/>
        </w:rPr>
        <w:t>- 4 -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7"/>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_Toc15025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rPr>
        <w:t>（二）对照标准，认真开展自评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_Toc15025 </w:instrText>
      </w:r>
      <w:r>
        <w:rPr>
          <w:rFonts w:hint="eastAsia" w:ascii="仿宋" w:hAnsi="仿宋" w:eastAsia="仿宋" w:cs="仿宋"/>
          <w:sz w:val="32"/>
          <w:szCs w:val="32"/>
        </w:rPr>
        <w:fldChar w:fldCharType="separate"/>
      </w:r>
      <w:r>
        <w:rPr>
          <w:rFonts w:hint="eastAsia" w:ascii="仿宋" w:hAnsi="仿宋" w:eastAsia="仿宋" w:cs="仿宋"/>
          <w:sz w:val="32"/>
          <w:szCs w:val="32"/>
        </w:rPr>
        <w:t>- 5 -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7"/>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_Toc29429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rPr>
        <w:t>（三）以评促改，持续提升改进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_Toc29429 </w:instrText>
      </w:r>
      <w:r>
        <w:rPr>
          <w:rFonts w:hint="eastAsia" w:ascii="仿宋" w:hAnsi="仿宋" w:eastAsia="仿宋" w:cs="仿宋"/>
          <w:sz w:val="32"/>
          <w:szCs w:val="32"/>
        </w:rPr>
        <w:fldChar w:fldCharType="separate"/>
      </w:r>
      <w:r>
        <w:rPr>
          <w:rFonts w:hint="eastAsia" w:ascii="仿宋" w:hAnsi="仿宋" w:eastAsia="仿宋" w:cs="仿宋"/>
          <w:sz w:val="32"/>
          <w:szCs w:val="32"/>
        </w:rPr>
        <w:t>- 5 -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5"/>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_Toc17873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三、高职院校适应社会需求能力评估自评内容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_Toc17873 </w:instrText>
      </w:r>
      <w:r>
        <w:rPr>
          <w:rFonts w:hint="eastAsia" w:ascii="仿宋" w:hAnsi="仿宋" w:eastAsia="仿宋" w:cs="仿宋"/>
          <w:sz w:val="32"/>
          <w:szCs w:val="32"/>
        </w:rPr>
        <w:fldChar w:fldCharType="separate"/>
      </w:r>
      <w:r>
        <w:rPr>
          <w:rFonts w:hint="eastAsia" w:ascii="仿宋" w:hAnsi="仿宋" w:eastAsia="仿宋" w:cs="仿宋"/>
          <w:sz w:val="32"/>
          <w:szCs w:val="32"/>
        </w:rPr>
        <w:t>- 5 -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7"/>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_Toc8564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rPr>
        <w:t>（一）办学基础能力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_Toc8564 </w:instrText>
      </w:r>
      <w:r>
        <w:rPr>
          <w:rFonts w:hint="eastAsia" w:ascii="仿宋" w:hAnsi="仿宋" w:eastAsia="仿宋" w:cs="仿宋"/>
          <w:sz w:val="32"/>
          <w:szCs w:val="32"/>
        </w:rPr>
        <w:fldChar w:fldCharType="separate"/>
      </w:r>
      <w:r>
        <w:rPr>
          <w:rFonts w:hint="eastAsia" w:ascii="仿宋" w:hAnsi="仿宋" w:eastAsia="仿宋" w:cs="仿宋"/>
          <w:sz w:val="32"/>
          <w:szCs w:val="32"/>
        </w:rPr>
        <w:t>- 5 -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7"/>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_Toc31830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rPr>
        <w:t>（二）</w:t>
      </w:r>
      <w:r>
        <w:rPr>
          <w:rFonts w:hint="eastAsia" w:ascii="仿宋" w:hAnsi="仿宋" w:eastAsia="仿宋" w:cs="仿宋"/>
          <w:bCs w:val="0"/>
          <w:sz w:val="32"/>
          <w:szCs w:val="32"/>
          <w:lang w:eastAsia="zh-CN"/>
        </w:rPr>
        <w:t>“双师”</w:t>
      </w:r>
      <w:r>
        <w:rPr>
          <w:rFonts w:hint="eastAsia" w:ascii="仿宋" w:hAnsi="仿宋" w:eastAsia="仿宋" w:cs="仿宋"/>
          <w:bCs w:val="0"/>
          <w:sz w:val="32"/>
          <w:szCs w:val="32"/>
        </w:rPr>
        <w:t>队伍建设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_Toc31830 </w:instrText>
      </w:r>
      <w:r>
        <w:rPr>
          <w:rFonts w:hint="eastAsia" w:ascii="仿宋" w:hAnsi="仿宋" w:eastAsia="仿宋" w:cs="仿宋"/>
          <w:sz w:val="32"/>
          <w:szCs w:val="32"/>
        </w:rPr>
        <w:fldChar w:fldCharType="separate"/>
      </w:r>
      <w:r>
        <w:rPr>
          <w:rFonts w:hint="eastAsia" w:ascii="仿宋" w:hAnsi="仿宋" w:eastAsia="仿宋" w:cs="仿宋"/>
          <w:sz w:val="32"/>
          <w:szCs w:val="32"/>
        </w:rPr>
        <w:t>- 7 -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7"/>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_Toc8966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rPr>
        <w:t>（三）专业人才培养</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_Toc8966 </w:instrText>
      </w:r>
      <w:r>
        <w:rPr>
          <w:rFonts w:hint="eastAsia" w:ascii="仿宋" w:hAnsi="仿宋" w:eastAsia="仿宋" w:cs="仿宋"/>
          <w:sz w:val="32"/>
          <w:szCs w:val="32"/>
        </w:rPr>
        <w:fldChar w:fldCharType="separate"/>
      </w:r>
      <w:r>
        <w:rPr>
          <w:rFonts w:hint="eastAsia" w:ascii="仿宋" w:hAnsi="仿宋" w:eastAsia="仿宋" w:cs="仿宋"/>
          <w:sz w:val="32"/>
          <w:szCs w:val="32"/>
        </w:rPr>
        <w:t>- 12 -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7"/>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_Toc18144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rPr>
        <w:t>（四）学生职业发展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_Toc18144 </w:instrText>
      </w:r>
      <w:r>
        <w:rPr>
          <w:rFonts w:hint="eastAsia" w:ascii="仿宋" w:hAnsi="仿宋" w:eastAsia="仿宋" w:cs="仿宋"/>
          <w:sz w:val="32"/>
          <w:szCs w:val="32"/>
        </w:rPr>
        <w:fldChar w:fldCharType="separate"/>
      </w:r>
      <w:r>
        <w:rPr>
          <w:rFonts w:hint="eastAsia" w:ascii="仿宋" w:hAnsi="仿宋" w:eastAsia="仿宋" w:cs="仿宋"/>
          <w:sz w:val="32"/>
          <w:szCs w:val="32"/>
        </w:rPr>
        <w:t>- 17 -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7"/>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_Toc6591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rPr>
        <w:t>（五）社会服务能力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_Toc6591 </w:instrText>
      </w:r>
      <w:r>
        <w:rPr>
          <w:rFonts w:hint="eastAsia" w:ascii="仿宋" w:hAnsi="仿宋" w:eastAsia="仿宋" w:cs="仿宋"/>
          <w:sz w:val="32"/>
          <w:szCs w:val="32"/>
        </w:rPr>
        <w:fldChar w:fldCharType="separate"/>
      </w:r>
      <w:r>
        <w:rPr>
          <w:rFonts w:hint="eastAsia" w:ascii="仿宋" w:hAnsi="仿宋" w:eastAsia="仿宋" w:cs="仿宋"/>
          <w:sz w:val="32"/>
          <w:szCs w:val="32"/>
        </w:rPr>
        <w:t>- 20 -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5"/>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_Toc2660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四、存在的主要问题和</w:t>
      </w:r>
      <w:r>
        <w:rPr>
          <w:rFonts w:hint="eastAsia" w:ascii="仿宋" w:hAnsi="仿宋" w:eastAsia="仿宋" w:cs="仿宋"/>
          <w:bCs/>
          <w:sz w:val="32"/>
          <w:szCs w:val="32"/>
          <w:lang w:eastAsia="zh-CN"/>
        </w:rPr>
        <w:t>发展举措</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_Toc2660 </w:instrText>
      </w:r>
      <w:r>
        <w:rPr>
          <w:rFonts w:hint="eastAsia" w:ascii="仿宋" w:hAnsi="仿宋" w:eastAsia="仿宋" w:cs="仿宋"/>
          <w:sz w:val="32"/>
          <w:szCs w:val="32"/>
        </w:rPr>
        <w:fldChar w:fldCharType="separate"/>
      </w:r>
      <w:r>
        <w:rPr>
          <w:rFonts w:hint="eastAsia" w:ascii="仿宋" w:hAnsi="仿宋" w:eastAsia="仿宋" w:cs="仿宋"/>
          <w:sz w:val="32"/>
          <w:szCs w:val="32"/>
        </w:rPr>
        <w:t>- 25 -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7"/>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_Toc25430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lang w:val="en-US" w:eastAsia="zh-CN"/>
        </w:rPr>
        <w:t>（一）探索路径，深化产教融合、校企合作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_Toc25430 </w:instrText>
      </w:r>
      <w:r>
        <w:rPr>
          <w:rFonts w:hint="eastAsia" w:ascii="仿宋" w:hAnsi="仿宋" w:eastAsia="仿宋" w:cs="仿宋"/>
          <w:sz w:val="32"/>
          <w:szCs w:val="32"/>
        </w:rPr>
        <w:fldChar w:fldCharType="separate"/>
      </w:r>
      <w:r>
        <w:rPr>
          <w:rFonts w:hint="eastAsia" w:ascii="仿宋" w:hAnsi="仿宋" w:eastAsia="仿宋" w:cs="仿宋"/>
          <w:sz w:val="32"/>
          <w:szCs w:val="32"/>
        </w:rPr>
        <w:t>- 25 -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7"/>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_Toc3904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lang w:val="en-US" w:eastAsia="zh-CN"/>
        </w:rPr>
        <w:t>（二）厚植内涵，推进“三教”改革</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_Toc3904 </w:instrText>
      </w:r>
      <w:r>
        <w:rPr>
          <w:rFonts w:hint="eastAsia" w:ascii="仿宋" w:hAnsi="仿宋" w:eastAsia="仿宋" w:cs="仿宋"/>
          <w:sz w:val="32"/>
          <w:szCs w:val="32"/>
        </w:rPr>
        <w:fldChar w:fldCharType="separate"/>
      </w:r>
      <w:r>
        <w:rPr>
          <w:rFonts w:hint="eastAsia" w:ascii="仿宋" w:hAnsi="仿宋" w:eastAsia="仿宋" w:cs="仿宋"/>
          <w:sz w:val="32"/>
          <w:szCs w:val="32"/>
        </w:rPr>
        <w:t>- 26 -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17"/>
        <w:tabs>
          <w:tab w:val="right" w:leader="dot" w:pos="8306"/>
        </w:tabs>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_Toc19061 </w:instrText>
      </w:r>
      <w:r>
        <w:rPr>
          <w:rFonts w:hint="eastAsia" w:ascii="仿宋" w:hAnsi="仿宋" w:eastAsia="仿宋" w:cs="仿宋"/>
          <w:bCs/>
          <w:sz w:val="32"/>
          <w:szCs w:val="32"/>
        </w:rPr>
        <w:fldChar w:fldCharType="separate"/>
      </w:r>
      <w:r>
        <w:rPr>
          <w:rFonts w:hint="eastAsia" w:ascii="仿宋" w:hAnsi="仿宋" w:eastAsia="仿宋" w:cs="仿宋"/>
          <w:bCs w:val="0"/>
          <w:sz w:val="32"/>
          <w:szCs w:val="32"/>
          <w:lang w:val="en-US" w:eastAsia="zh-CN"/>
        </w:rPr>
        <w:t>（三）对接需求，打响社会服务品牌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_Toc19061 </w:instrText>
      </w:r>
      <w:r>
        <w:rPr>
          <w:rFonts w:hint="eastAsia" w:ascii="仿宋" w:hAnsi="仿宋" w:eastAsia="仿宋" w:cs="仿宋"/>
          <w:sz w:val="32"/>
          <w:szCs w:val="32"/>
        </w:rPr>
        <w:fldChar w:fldCharType="separate"/>
      </w:r>
      <w:r>
        <w:rPr>
          <w:rFonts w:hint="eastAsia" w:ascii="仿宋" w:hAnsi="仿宋" w:eastAsia="仿宋" w:cs="仿宋"/>
          <w:sz w:val="32"/>
          <w:szCs w:val="32"/>
        </w:rPr>
        <w:t>- 26 -</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spacing w:line="640" w:lineRule="exact"/>
      </w:pPr>
      <w:r>
        <w:rPr>
          <w:rFonts w:hint="eastAsia" w:ascii="楷体" w:hAnsi="楷体" w:eastAsia="楷体" w:cs="楷体"/>
          <w:bCs/>
          <w:szCs w:val="32"/>
        </w:rPr>
        <w:fldChar w:fldCharType="end"/>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bookmarkStart w:id="23" w:name="_GoBack"/>
      <w:bookmarkEnd w:id="23"/>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根据国务院教育督导委员会办公室下发的《关于开展20</w:t>
      </w:r>
      <w:r>
        <w:rPr>
          <w:rFonts w:hint="eastAsia" w:ascii="仿宋" w:hAnsi="仿宋" w:eastAsia="仿宋" w:cs="仿宋"/>
          <w:b w:val="0"/>
          <w:bCs w:val="0"/>
          <w:sz w:val="28"/>
          <w:szCs w:val="28"/>
          <w:lang w:val="en-US" w:eastAsia="zh-CN"/>
        </w:rPr>
        <w:t>20</w:t>
      </w:r>
      <w:r>
        <w:rPr>
          <w:rFonts w:hint="eastAsia" w:ascii="仿宋" w:hAnsi="仿宋" w:eastAsia="仿宋" w:cs="仿宋"/>
          <w:b w:val="0"/>
          <w:bCs w:val="0"/>
          <w:sz w:val="28"/>
          <w:szCs w:val="28"/>
        </w:rPr>
        <w:t>年全国职业院校评估工作的通知》（国教督办函〔20</w:t>
      </w:r>
      <w:r>
        <w:rPr>
          <w:rFonts w:hint="eastAsia" w:ascii="仿宋" w:hAnsi="仿宋" w:eastAsia="仿宋" w:cs="仿宋"/>
          <w:b w:val="0"/>
          <w:bCs w:val="0"/>
          <w:sz w:val="28"/>
          <w:szCs w:val="28"/>
          <w:lang w:val="en-US" w:eastAsia="zh-CN"/>
        </w:rPr>
        <w:t>20</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25</w:t>
      </w:r>
      <w:r>
        <w:rPr>
          <w:rFonts w:hint="eastAsia" w:ascii="仿宋" w:hAnsi="仿宋" w:eastAsia="仿宋" w:cs="仿宋"/>
          <w:b w:val="0"/>
          <w:bCs w:val="0"/>
          <w:sz w:val="28"/>
          <w:szCs w:val="28"/>
        </w:rPr>
        <w:t>号）</w:t>
      </w:r>
      <w:r>
        <w:rPr>
          <w:rFonts w:hint="eastAsia" w:ascii="仿宋" w:hAnsi="仿宋" w:eastAsia="仿宋" w:cs="仿宋"/>
          <w:b w:val="0"/>
          <w:bCs w:val="0"/>
          <w:sz w:val="28"/>
          <w:szCs w:val="28"/>
          <w:lang w:eastAsia="zh-CN"/>
        </w:rPr>
        <w:t>和江西省教育厅下发的</w:t>
      </w:r>
      <w:r>
        <w:rPr>
          <w:rFonts w:hint="eastAsia" w:ascii="仿宋" w:hAnsi="仿宋" w:eastAsia="仿宋" w:cs="仿宋"/>
          <w:b w:val="0"/>
          <w:bCs w:val="0"/>
          <w:sz w:val="28"/>
          <w:szCs w:val="28"/>
        </w:rPr>
        <w:t>《关于</w:t>
      </w:r>
      <w:r>
        <w:rPr>
          <w:rFonts w:hint="eastAsia" w:ascii="仿宋" w:hAnsi="仿宋" w:eastAsia="仿宋" w:cs="仿宋"/>
          <w:b w:val="0"/>
          <w:bCs w:val="0"/>
          <w:sz w:val="28"/>
          <w:szCs w:val="28"/>
          <w:lang w:eastAsia="zh-CN"/>
        </w:rPr>
        <w:t>开展</w:t>
      </w:r>
      <w:r>
        <w:rPr>
          <w:rFonts w:hint="eastAsia" w:ascii="仿宋" w:hAnsi="仿宋" w:eastAsia="仿宋" w:cs="仿宋"/>
          <w:b w:val="0"/>
          <w:bCs w:val="0"/>
          <w:sz w:val="28"/>
          <w:szCs w:val="28"/>
          <w:lang w:val="en-US" w:eastAsia="zh-CN"/>
        </w:rPr>
        <w:t>2020</w:t>
      </w:r>
      <w:r>
        <w:rPr>
          <w:rFonts w:hint="eastAsia" w:ascii="仿宋" w:hAnsi="仿宋" w:eastAsia="仿宋" w:cs="仿宋"/>
          <w:b w:val="0"/>
          <w:bCs w:val="0"/>
          <w:sz w:val="28"/>
          <w:szCs w:val="28"/>
        </w:rPr>
        <w:t>年职业院校评估工作的通知》（赣教</w:t>
      </w:r>
      <w:r>
        <w:rPr>
          <w:rFonts w:hint="eastAsia" w:ascii="仿宋" w:hAnsi="仿宋" w:eastAsia="仿宋" w:cs="仿宋"/>
          <w:b w:val="0"/>
          <w:bCs w:val="0"/>
          <w:sz w:val="28"/>
          <w:szCs w:val="28"/>
          <w:lang w:eastAsia="zh-CN"/>
        </w:rPr>
        <w:t>职成</w:t>
      </w:r>
      <w:r>
        <w:rPr>
          <w:rFonts w:hint="eastAsia" w:ascii="仿宋" w:hAnsi="仿宋" w:eastAsia="仿宋" w:cs="仿宋"/>
          <w:b w:val="0"/>
          <w:bCs w:val="0"/>
          <w:sz w:val="28"/>
          <w:szCs w:val="28"/>
        </w:rPr>
        <w:t>字〔</w:t>
      </w:r>
      <w:r>
        <w:rPr>
          <w:rFonts w:hint="eastAsia" w:ascii="仿宋" w:hAnsi="仿宋" w:eastAsia="仿宋" w:cs="仿宋"/>
          <w:b w:val="0"/>
          <w:bCs w:val="0"/>
          <w:sz w:val="28"/>
          <w:szCs w:val="28"/>
          <w:lang w:val="en-US" w:eastAsia="zh-CN"/>
        </w:rPr>
        <w:t>2020</w:t>
      </w: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号）文件精神要求，为深化办学机制和教育教学改革，全面提高</w:t>
      </w:r>
      <w:r>
        <w:rPr>
          <w:rFonts w:hint="eastAsia" w:ascii="仿宋" w:hAnsi="仿宋" w:eastAsia="仿宋" w:cs="仿宋"/>
          <w:b w:val="0"/>
          <w:bCs w:val="0"/>
          <w:sz w:val="28"/>
          <w:szCs w:val="28"/>
          <w:lang w:eastAsia="zh-CN"/>
        </w:rPr>
        <w:t>高等职业院校适应社会需求能力和水平</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根据国务院教育督导办颁布的</w:t>
      </w:r>
      <w:r>
        <w:rPr>
          <w:rFonts w:hint="eastAsia" w:ascii="仿宋" w:hAnsi="仿宋" w:eastAsia="仿宋" w:cs="仿宋"/>
          <w:b w:val="0"/>
          <w:bCs w:val="0"/>
          <w:sz w:val="28"/>
          <w:szCs w:val="28"/>
        </w:rPr>
        <w:t>《高等职业院校适应社会需求能力评估</w:t>
      </w:r>
      <w:r>
        <w:rPr>
          <w:rFonts w:hint="eastAsia" w:ascii="仿宋" w:hAnsi="仿宋" w:eastAsia="仿宋" w:cs="仿宋"/>
          <w:b w:val="0"/>
          <w:bCs w:val="0"/>
          <w:sz w:val="28"/>
          <w:szCs w:val="28"/>
          <w:lang w:eastAsia="zh-CN"/>
        </w:rPr>
        <w:t>暂行办法</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结合我校的实际办学情况形成自评报告，请专家组考察审定。</w:t>
      </w:r>
    </w:p>
    <w:p>
      <w:pPr>
        <w:keepNext w:val="0"/>
        <w:keepLines w:val="0"/>
        <w:pageBreakBefore w:val="0"/>
        <w:widowControl/>
        <w:kinsoku/>
        <w:wordWrap/>
        <w:overflowPunct/>
        <w:topLinePunct w:val="0"/>
        <w:autoSpaceDE/>
        <w:autoSpaceDN/>
        <w:bidi w:val="0"/>
        <w:adjustRightInd/>
        <w:snapToGrid/>
        <w:spacing w:line="240" w:lineRule="auto"/>
        <w:ind w:right="0" w:rightChars="0" w:firstLine="562" w:firstLineChars="200"/>
        <w:textAlignment w:val="auto"/>
        <w:outlineLvl w:val="0"/>
        <w:rPr>
          <w:rFonts w:hint="eastAsia" w:ascii="仿宋" w:hAnsi="仿宋" w:eastAsia="仿宋" w:cs="仿宋"/>
          <w:b/>
          <w:bCs/>
          <w:sz w:val="28"/>
          <w:szCs w:val="28"/>
        </w:rPr>
      </w:pPr>
      <w:bookmarkStart w:id="0" w:name="_Toc26206"/>
      <w:r>
        <w:rPr>
          <w:rFonts w:hint="eastAsia" w:ascii="仿宋" w:hAnsi="仿宋" w:eastAsia="仿宋" w:cs="仿宋"/>
          <w:b/>
          <w:bCs/>
          <w:sz w:val="28"/>
          <w:szCs w:val="28"/>
        </w:rPr>
        <w:t>一、学校概况</w:t>
      </w:r>
      <w:bookmarkEnd w:id="0"/>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江西旅游商贸职业学院（以下称：学校）是2002年4月经江西省人民政府批准组建的一所旅游商贸类公办全日制高等院校，与江西省电子商务高级技工学校（成立于1993年，前身为江西省供销社技工学校，2013年升格为江西省电子商务高级技工学校）“两块牌子，一套人马”，隶属于省供销合作社。学校前身为江西省商业学校（成立于1964年）、江西省旅游学校（成立于1987年）和江西核工业技术学校（成立于1964年）。</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是江西省人民政府与中华全国供销合作总社省部共建院校、中华全国供销合作总社部级示范高职院校、江西省示范性高职院校、江西省首批应用技术型本科人才培养院校（学校是该项目的全省首倡者）、江西省高水平高职院校建设单位（2018年立项）。在中国科学评价研究中心、武汉大学中国教育质量评价中心和中国科教评价网联合发布的“2019年中国高职高专院校竞争力排行榜(800强)”中，学校位居全国第188位。在江西省高水平高职院校遴选中，位居全省第8名。在中国旅游协会《旅游高职高专院校核心专业竞争力评价指标及排名研究报告》中，学校的旅游管理专业排名全国第七名（并列第六名），五星级。</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目前，学校校园占地1068亩，建筑面积35万㎡，图书馆藏书110多万册，校内实训室167个，校外实习基地134个，教学仪器设备总值7000余万元，固定资产总值近6亿元。现有在校生近17000人，专兼职教师1000余名。</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有文、理、工、艺术、体育等多种学科，分设旅游、经济管理、会计金融、国际商务、机电与建筑工程、艺术传媒与计算机、体育等7个二级学院，导游、酒店管理、旅游管理、旅游英/日/韩语、物流管理、电子商务、会计、商务英语、学前教育、汽车维修、建筑工程、电脑艺术设计、休闲体育等50多个专业，致力于培养现代旅游商贸服务业和先进制造业高素质技术技能人才。</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通过多层次、多形式、多渠道全方位开拓办学，学校已经基本形成了全日制高职教育、多样化继续教育与各类培训协调发展，立足江西、面向全国的开放式办学格局。</w:t>
      </w:r>
    </w:p>
    <w:p>
      <w:pPr>
        <w:keepNext w:val="0"/>
        <w:keepLines w:val="0"/>
        <w:pageBreakBefore w:val="0"/>
        <w:widowControl/>
        <w:kinsoku/>
        <w:wordWrap/>
        <w:overflowPunct/>
        <w:topLinePunct w:val="0"/>
        <w:autoSpaceDE/>
        <w:autoSpaceDN/>
        <w:bidi w:val="0"/>
        <w:adjustRightInd/>
        <w:snapToGrid/>
        <w:spacing w:line="240" w:lineRule="auto"/>
        <w:ind w:right="0" w:rightChars="0" w:firstLine="562" w:firstLineChars="200"/>
        <w:textAlignment w:val="auto"/>
        <w:outlineLvl w:val="0"/>
        <w:rPr>
          <w:rFonts w:hint="eastAsia" w:ascii="仿宋" w:hAnsi="仿宋" w:eastAsia="仿宋" w:cs="仿宋"/>
          <w:b/>
          <w:bCs/>
          <w:sz w:val="28"/>
          <w:szCs w:val="28"/>
        </w:rPr>
      </w:pPr>
      <w:bookmarkStart w:id="1" w:name="_Toc21219"/>
      <w:r>
        <w:rPr>
          <w:rFonts w:hint="eastAsia" w:ascii="仿宋" w:hAnsi="仿宋" w:eastAsia="仿宋" w:cs="仿宋"/>
          <w:b/>
          <w:bCs/>
          <w:sz w:val="28"/>
          <w:szCs w:val="28"/>
        </w:rPr>
        <w:t>二、迎评工作的基本情况</w:t>
      </w:r>
      <w:bookmarkEnd w:id="1"/>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根据国务院和省教育厅开展评估工作的通知精神，学校高度重视，全面启动了学校的评估工作。20</w:t>
      </w:r>
      <w:r>
        <w:rPr>
          <w:rFonts w:hint="eastAsia" w:ascii="仿宋" w:hAnsi="仿宋" w:eastAsia="仿宋" w:cs="仿宋"/>
          <w:b w:val="0"/>
          <w:bCs w:val="0"/>
          <w:sz w:val="28"/>
          <w:szCs w:val="28"/>
          <w:lang w:val="en-US" w:eastAsia="zh-CN"/>
        </w:rPr>
        <w:t>20</w:t>
      </w:r>
      <w:r>
        <w:rPr>
          <w:rFonts w:hint="eastAsia" w:ascii="仿宋" w:hAnsi="仿宋" w:eastAsia="仿宋" w:cs="仿宋"/>
          <w:b w:val="0"/>
          <w:bCs w:val="0"/>
          <w:sz w:val="28"/>
          <w:szCs w:val="28"/>
        </w:rPr>
        <w:t>年</w:t>
      </w:r>
      <w:r>
        <w:rPr>
          <w:rFonts w:hint="eastAsia" w:ascii="仿宋" w:hAnsi="仿宋" w:eastAsia="仿宋" w:cs="仿宋"/>
          <w:b w:val="0"/>
          <w:bCs w:val="0"/>
          <w:sz w:val="28"/>
          <w:szCs w:val="28"/>
          <w:lang w:val="en-US" w:eastAsia="zh-CN"/>
        </w:rPr>
        <w:t>8月15日之前</w:t>
      </w:r>
      <w:r>
        <w:rPr>
          <w:rFonts w:hint="eastAsia" w:ascii="仿宋" w:hAnsi="仿宋" w:eastAsia="仿宋" w:cs="仿宋"/>
          <w:b w:val="0"/>
          <w:bCs w:val="0"/>
          <w:sz w:val="28"/>
          <w:szCs w:val="28"/>
        </w:rPr>
        <w:t>完成了网上数据信息填报工作，并通过省教育厅审核。</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textAlignment w:val="auto"/>
        <w:outlineLvl w:val="1"/>
        <w:rPr>
          <w:rFonts w:hint="eastAsia" w:ascii="仿宋" w:hAnsi="仿宋" w:eastAsia="仿宋" w:cs="仿宋"/>
          <w:b w:val="0"/>
          <w:bCs w:val="0"/>
          <w:sz w:val="28"/>
          <w:szCs w:val="28"/>
        </w:rPr>
      </w:pPr>
      <w:bookmarkStart w:id="2" w:name="_Toc6421"/>
      <w:r>
        <w:rPr>
          <w:rFonts w:hint="eastAsia" w:ascii="仿宋" w:hAnsi="仿宋" w:eastAsia="仿宋" w:cs="仿宋"/>
          <w:b w:val="0"/>
          <w:bCs w:val="0"/>
          <w:sz w:val="28"/>
          <w:szCs w:val="28"/>
        </w:rPr>
        <w:t>（一）高度重视，强化组织领导</w:t>
      </w:r>
      <w:bookmarkEnd w:id="2"/>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学校高度重视适应社会需求能力评估工作，抓紧制定了评估工作方案，并于</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20</w:t>
      </w:r>
      <w:r>
        <w:rPr>
          <w:rFonts w:hint="eastAsia" w:ascii="仿宋" w:hAnsi="仿宋" w:eastAsia="仿宋" w:cs="仿宋"/>
          <w:b w:val="0"/>
          <w:bCs w:val="0"/>
          <w:sz w:val="28"/>
          <w:szCs w:val="28"/>
        </w:rPr>
        <w:t>日上午召开了“20</w:t>
      </w:r>
      <w:r>
        <w:rPr>
          <w:rFonts w:hint="eastAsia" w:ascii="仿宋" w:hAnsi="仿宋" w:eastAsia="仿宋" w:cs="仿宋"/>
          <w:b w:val="0"/>
          <w:bCs w:val="0"/>
          <w:sz w:val="28"/>
          <w:szCs w:val="28"/>
          <w:lang w:val="en-US" w:eastAsia="zh-CN"/>
        </w:rPr>
        <w:t>20</w:t>
      </w:r>
      <w:r>
        <w:rPr>
          <w:rFonts w:hint="eastAsia" w:ascii="仿宋" w:hAnsi="仿宋" w:eastAsia="仿宋" w:cs="仿宋"/>
          <w:b w:val="0"/>
          <w:bCs w:val="0"/>
          <w:sz w:val="28"/>
          <w:szCs w:val="28"/>
        </w:rPr>
        <w:t>年全国职业院校评估”专题会议，对照《高等职业院校适应社会需求能力评估指标》部署了迎评相关工作。为加强对评估工作的组织领导，学校还成立了以党委书记</w:t>
      </w:r>
      <w:r>
        <w:rPr>
          <w:rFonts w:hint="eastAsia" w:ascii="仿宋" w:hAnsi="仿宋" w:eastAsia="仿宋" w:cs="仿宋"/>
          <w:b w:val="0"/>
          <w:bCs w:val="0"/>
          <w:sz w:val="28"/>
          <w:szCs w:val="28"/>
          <w:lang w:eastAsia="zh-CN"/>
        </w:rPr>
        <w:t>吴小平、校长蔡海生</w:t>
      </w:r>
      <w:r>
        <w:rPr>
          <w:rFonts w:hint="eastAsia" w:ascii="仿宋" w:hAnsi="仿宋" w:eastAsia="仿宋" w:cs="仿宋"/>
          <w:b w:val="0"/>
          <w:bCs w:val="0"/>
          <w:sz w:val="28"/>
          <w:szCs w:val="28"/>
        </w:rPr>
        <w:t>为组长、分管教学工作的</w:t>
      </w:r>
      <w:r>
        <w:rPr>
          <w:rFonts w:hint="eastAsia" w:ascii="仿宋" w:hAnsi="仿宋" w:eastAsia="仿宋" w:cs="仿宋"/>
          <w:b w:val="0"/>
          <w:bCs w:val="0"/>
          <w:sz w:val="28"/>
          <w:szCs w:val="28"/>
          <w:lang w:eastAsia="zh-CN"/>
        </w:rPr>
        <w:t>副校长杨福盛</w:t>
      </w:r>
      <w:r>
        <w:rPr>
          <w:rFonts w:hint="eastAsia" w:ascii="仿宋" w:hAnsi="仿宋" w:eastAsia="仿宋" w:cs="仿宋"/>
          <w:b w:val="0"/>
          <w:bCs w:val="0"/>
          <w:sz w:val="28"/>
          <w:szCs w:val="28"/>
        </w:rPr>
        <w:t>为副组长，各学院、有关部门负责人为成员的评估工作领导小组，确保上报数据的准确和实效。在评估工作过程中，学校广泛宣传，全面发动，营造一个积极迎评的良好氛围。</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textAlignment w:val="auto"/>
        <w:outlineLvl w:val="1"/>
        <w:rPr>
          <w:rFonts w:hint="eastAsia" w:ascii="仿宋" w:hAnsi="仿宋" w:eastAsia="仿宋" w:cs="仿宋"/>
          <w:b w:val="0"/>
          <w:bCs w:val="0"/>
          <w:sz w:val="28"/>
          <w:szCs w:val="28"/>
        </w:rPr>
      </w:pPr>
      <w:bookmarkStart w:id="3" w:name="_Toc15025"/>
      <w:r>
        <w:rPr>
          <w:rFonts w:hint="eastAsia" w:ascii="仿宋" w:hAnsi="仿宋" w:eastAsia="仿宋" w:cs="仿宋"/>
          <w:b w:val="0"/>
          <w:bCs w:val="0"/>
          <w:sz w:val="28"/>
          <w:szCs w:val="28"/>
        </w:rPr>
        <w:t>（二）对照标准，认真开展自评</w:t>
      </w:r>
      <w:bookmarkEnd w:id="3"/>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学校根据《国务院教育督导委员会办公室关于印发&lt;高等职业院校适应社会需求能力评估暂行办法&gt;的通知》（国教督办〔2016〕3号）要求，对照评估各项指标，围绕“办学基础能力、</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双师</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队伍建设、专业人才培养、学生职业发展、社会服务能力”等5个方面，进行了认真自查自评。</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textAlignment w:val="auto"/>
        <w:outlineLvl w:val="1"/>
        <w:rPr>
          <w:rFonts w:hint="eastAsia" w:ascii="仿宋" w:hAnsi="仿宋" w:eastAsia="仿宋" w:cs="仿宋"/>
          <w:b w:val="0"/>
          <w:bCs w:val="0"/>
          <w:sz w:val="28"/>
          <w:szCs w:val="28"/>
        </w:rPr>
      </w:pPr>
      <w:bookmarkStart w:id="4" w:name="_Toc29429"/>
      <w:r>
        <w:rPr>
          <w:rFonts w:hint="eastAsia" w:ascii="仿宋" w:hAnsi="仿宋" w:eastAsia="仿宋" w:cs="仿宋"/>
          <w:b w:val="0"/>
          <w:bCs w:val="0"/>
          <w:sz w:val="28"/>
          <w:szCs w:val="28"/>
        </w:rPr>
        <w:t>（三）以评促改，持续提升改进</w:t>
      </w:r>
      <w:bookmarkEnd w:id="4"/>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坚持“以评促改”的原则，在自查自评过程中，针对自查自评中发现的问题，有针对地加强教学质量过程管理，梳理和完善各项规章制度，积极开展整改，不断完善了人才培养工作体系，进一步提升了学校适应社会需求能力。</w:t>
      </w:r>
    </w:p>
    <w:p>
      <w:pPr>
        <w:keepNext w:val="0"/>
        <w:keepLines w:val="0"/>
        <w:pageBreakBefore w:val="0"/>
        <w:widowControl/>
        <w:kinsoku/>
        <w:wordWrap/>
        <w:overflowPunct/>
        <w:topLinePunct w:val="0"/>
        <w:autoSpaceDE/>
        <w:autoSpaceDN/>
        <w:bidi w:val="0"/>
        <w:adjustRightInd/>
        <w:snapToGrid/>
        <w:spacing w:line="240" w:lineRule="auto"/>
        <w:ind w:right="0" w:rightChars="0" w:firstLine="562" w:firstLineChars="200"/>
        <w:textAlignment w:val="auto"/>
        <w:outlineLvl w:val="0"/>
        <w:rPr>
          <w:rFonts w:hint="eastAsia" w:ascii="仿宋" w:hAnsi="仿宋" w:eastAsia="仿宋" w:cs="仿宋"/>
          <w:b/>
          <w:bCs/>
          <w:sz w:val="28"/>
          <w:szCs w:val="28"/>
        </w:rPr>
      </w:pPr>
      <w:bookmarkStart w:id="5" w:name="_Toc17873"/>
      <w:r>
        <w:rPr>
          <w:rFonts w:hint="eastAsia" w:ascii="仿宋" w:hAnsi="仿宋" w:eastAsia="仿宋" w:cs="仿宋"/>
          <w:b/>
          <w:bCs/>
          <w:sz w:val="28"/>
          <w:szCs w:val="28"/>
        </w:rPr>
        <w:t>三、高职院校适应社会需求能力评估自评内容</w:t>
      </w:r>
      <w:bookmarkEnd w:id="5"/>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textAlignment w:val="auto"/>
        <w:outlineLvl w:val="1"/>
        <w:rPr>
          <w:rFonts w:hint="eastAsia" w:ascii="仿宋" w:hAnsi="仿宋" w:eastAsia="仿宋" w:cs="仿宋"/>
          <w:b w:val="0"/>
          <w:bCs w:val="0"/>
          <w:sz w:val="28"/>
          <w:szCs w:val="28"/>
        </w:rPr>
      </w:pPr>
      <w:bookmarkStart w:id="6" w:name="_Toc8564"/>
      <w:r>
        <w:rPr>
          <w:rFonts w:hint="eastAsia" w:ascii="仿宋" w:hAnsi="仿宋" w:eastAsia="仿宋" w:cs="仿宋"/>
          <w:b w:val="0"/>
          <w:bCs w:val="0"/>
          <w:sz w:val="28"/>
          <w:szCs w:val="28"/>
        </w:rPr>
        <w:t>（一）办学基础能力</w:t>
      </w:r>
      <w:bookmarkEnd w:id="6"/>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 校舍条件</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学校校园占地1068亩，行政办公用房面积为</w:t>
      </w:r>
      <w:r>
        <w:rPr>
          <w:rFonts w:hint="eastAsia" w:ascii="仿宋" w:hAnsi="仿宋" w:eastAsia="仿宋" w:cs="仿宋"/>
          <w:b w:val="0"/>
          <w:bCs w:val="0"/>
          <w:color w:val="auto"/>
          <w:sz w:val="28"/>
          <w:szCs w:val="28"/>
          <w:lang w:val="en-US" w:eastAsia="zh-CN"/>
        </w:rPr>
        <w:t>19.21</w:t>
      </w:r>
      <w:r>
        <w:rPr>
          <w:rFonts w:hint="eastAsia" w:ascii="仿宋" w:hAnsi="仿宋" w:eastAsia="仿宋" w:cs="仿宋"/>
          <w:b w:val="0"/>
          <w:bCs w:val="0"/>
          <w:color w:val="auto"/>
          <w:sz w:val="28"/>
          <w:szCs w:val="28"/>
        </w:rPr>
        <w:t>万平方米</w:t>
      </w:r>
      <w:r>
        <w:rPr>
          <w:rFonts w:hint="eastAsia" w:ascii="仿宋" w:hAnsi="仿宋" w:eastAsia="仿宋" w:cs="仿宋"/>
          <w:b w:val="0"/>
          <w:bCs w:val="0"/>
          <w:color w:val="auto"/>
          <w:sz w:val="28"/>
          <w:szCs w:val="28"/>
          <w:lang w:eastAsia="zh-CN"/>
        </w:rPr>
        <w:t>，生均</w:t>
      </w:r>
      <w:r>
        <w:rPr>
          <w:rFonts w:hint="eastAsia" w:ascii="仿宋" w:hAnsi="仿宋" w:eastAsia="仿宋" w:cs="仿宋"/>
          <w:b w:val="0"/>
          <w:bCs w:val="0"/>
          <w:color w:val="auto"/>
          <w:sz w:val="28"/>
          <w:szCs w:val="28"/>
          <w:lang w:val="en-US" w:eastAsia="zh-CN"/>
        </w:rPr>
        <w:t>13.82</w:t>
      </w:r>
      <w:r>
        <w:rPr>
          <w:rFonts w:hint="eastAsia" w:ascii="仿宋" w:hAnsi="仿宋" w:eastAsia="仿宋" w:cs="仿宋"/>
          <w:b w:val="0"/>
          <w:bCs w:val="0"/>
          <w:color w:val="auto"/>
          <w:sz w:val="28"/>
          <w:szCs w:val="28"/>
        </w:rPr>
        <w:t>平方米。建有实训楼、教学楼、图书馆、学生公寓、餐厅、浴室、标准化操场等教学生活用房和功能齐全的设施设备。</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 财政拨款水平</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江西省政府高度重视职业教育，年生均财务拨款及时到位。</w:t>
      </w:r>
      <w:r>
        <w:rPr>
          <w:rFonts w:hint="eastAsia" w:ascii="仿宋" w:hAnsi="仿宋" w:eastAsia="仿宋" w:cs="仿宋"/>
          <w:b w:val="0"/>
          <w:bCs w:val="0"/>
          <w:color w:val="auto"/>
          <w:sz w:val="28"/>
          <w:szCs w:val="28"/>
        </w:rPr>
        <w:t>201</w:t>
      </w: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年年生均财政拨款经费</w:t>
      </w:r>
      <w:r>
        <w:rPr>
          <w:rFonts w:hint="eastAsia" w:ascii="仿宋" w:hAnsi="仿宋" w:eastAsia="仿宋" w:cs="仿宋"/>
          <w:b w:val="0"/>
          <w:bCs w:val="0"/>
          <w:color w:val="auto"/>
          <w:sz w:val="28"/>
          <w:szCs w:val="28"/>
          <w:lang w:val="en-US" w:eastAsia="zh-CN"/>
        </w:rPr>
        <w:t>12000</w:t>
      </w:r>
      <w:r>
        <w:rPr>
          <w:rFonts w:hint="eastAsia" w:ascii="仿宋" w:hAnsi="仿宋" w:eastAsia="仿宋" w:cs="仿宋"/>
          <w:b w:val="0"/>
          <w:bCs w:val="0"/>
          <w:color w:val="auto"/>
          <w:sz w:val="28"/>
          <w:szCs w:val="28"/>
        </w:rPr>
        <w:t>元</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20</w:t>
      </w:r>
      <w:r>
        <w:rPr>
          <w:rFonts w:hint="eastAsia" w:ascii="仿宋" w:hAnsi="仿宋" w:eastAsia="仿宋" w:cs="仿宋"/>
          <w:b w:val="0"/>
          <w:bCs w:val="0"/>
          <w:color w:val="auto"/>
          <w:sz w:val="28"/>
          <w:szCs w:val="28"/>
          <w:lang w:val="en-US" w:eastAsia="zh-CN"/>
        </w:rPr>
        <w:t>19</w:t>
      </w:r>
      <w:r>
        <w:rPr>
          <w:rFonts w:hint="eastAsia" w:ascii="仿宋" w:hAnsi="仿宋" w:eastAsia="仿宋" w:cs="仿宋"/>
          <w:b w:val="0"/>
          <w:bCs w:val="0"/>
          <w:color w:val="auto"/>
          <w:sz w:val="28"/>
          <w:szCs w:val="28"/>
        </w:rPr>
        <w:t>年年生均财政拨款经费</w:t>
      </w:r>
      <w:r>
        <w:rPr>
          <w:rFonts w:hint="eastAsia" w:ascii="仿宋" w:hAnsi="仿宋" w:eastAsia="仿宋" w:cs="仿宋"/>
          <w:b w:val="0"/>
          <w:bCs w:val="0"/>
          <w:color w:val="auto"/>
          <w:sz w:val="28"/>
          <w:szCs w:val="28"/>
          <w:lang w:val="en-US" w:eastAsia="zh-CN"/>
        </w:rPr>
        <w:t>12000</w:t>
      </w:r>
      <w:r>
        <w:rPr>
          <w:rFonts w:hint="eastAsia" w:ascii="仿宋" w:hAnsi="仿宋" w:eastAsia="仿宋" w:cs="仿宋"/>
          <w:b w:val="0"/>
          <w:bCs w:val="0"/>
          <w:color w:val="auto"/>
          <w:sz w:val="28"/>
          <w:szCs w:val="28"/>
        </w:rPr>
        <w:t>元</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20</w:t>
      </w:r>
      <w:r>
        <w:rPr>
          <w:rFonts w:hint="eastAsia" w:ascii="仿宋" w:hAnsi="仿宋" w:eastAsia="仿宋" w:cs="仿宋"/>
          <w:b w:val="0"/>
          <w:bCs w:val="0"/>
          <w:color w:val="auto"/>
          <w:sz w:val="28"/>
          <w:szCs w:val="28"/>
          <w:lang w:val="en-US" w:eastAsia="zh-CN"/>
        </w:rPr>
        <w:t>20</w:t>
      </w:r>
      <w:r>
        <w:rPr>
          <w:rFonts w:hint="eastAsia" w:ascii="仿宋" w:hAnsi="仿宋" w:eastAsia="仿宋" w:cs="仿宋"/>
          <w:b w:val="0"/>
          <w:bCs w:val="0"/>
          <w:color w:val="auto"/>
          <w:sz w:val="28"/>
          <w:szCs w:val="28"/>
        </w:rPr>
        <w:t>年年生均财政拨款经费</w:t>
      </w:r>
      <w:r>
        <w:rPr>
          <w:rFonts w:hint="eastAsia" w:ascii="仿宋" w:hAnsi="仿宋" w:eastAsia="仿宋" w:cs="仿宋"/>
          <w:b w:val="0"/>
          <w:bCs w:val="0"/>
          <w:color w:val="auto"/>
          <w:sz w:val="28"/>
          <w:szCs w:val="28"/>
          <w:lang w:val="en-US" w:eastAsia="zh-CN"/>
        </w:rPr>
        <w:t>12000</w:t>
      </w:r>
      <w:r>
        <w:rPr>
          <w:rFonts w:hint="eastAsia" w:ascii="仿宋" w:hAnsi="仿宋" w:eastAsia="仿宋" w:cs="仿宋"/>
          <w:b w:val="0"/>
          <w:bCs w:val="0"/>
          <w:color w:val="auto"/>
          <w:sz w:val="28"/>
          <w:szCs w:val="28"/>
        </w:rPr>
        <w:t>元。</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 信息化教学条件</w:t>
      </w:r>
    </w:p>
    <w:p>
      <w:pPr>
        <w:pStyle w:val="53"/>
        <w:keepNext w:val="0"/>
        <w:keepLines w:val="0"/>
        <w:pageBreakBefore w:val="0"/>
        <w:kinsoku/>
        <w:overflowPunct/>
        <w:topLinePunct w:val="0"/>
        <w:autoSpaceDE/>
        <w:autoSpaceDN/>
        <w:bidi w:val="0"/>
        <w:adjustRightInd/>
        <w:snapToGrid/>
        <w:spacing w:line="24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学校高度重视校园信息化建设，在网络基础设施方面，全网采用扁平化架构，核心设备达万兆冗余，各楼宇万兆主干，千兆到桌面，出口带宽达到14000Mbps，无线网覆盖全校园，私有云存储空间达192TB；在业务系统方面，教学、科研、管理、公共服务和生活等方面建设了25个校级应用系统，实现了系统集成、数据共享、移动应用和数据分析。2018年学校开始建设网上办事大厅，2019年6月实现15个办事流程线上办理，有效助力学校管理体制改革，实现以管理为中心向以服务体验为中心转移，通过钉钉、微信、支付宝多种移动门户入口，“让数据多跑路、师生员工少跑腿”的服务宗旨为不同人群提供定制服务。 2018年学校内部质量监测平台正式上线，教学诊改促进了数据中心与各业务系统的数据对接，消除了信息孤岛，增强了数据共享，保障了学校校情分析所用数据的实时性和完整性，在2019年10月教育厅组织的高职院校内部质量保证体系诊断与改进复核中，学校内部质量监测平台中的校情分析数据有79.10%来源于数据中心，为学校内部质量保证体系提供了良好地信息化支撑，并顺利通过复核。201</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rPr>
        <w:t>-2019年连续</w:t>
      </w:r>
      <w:r>
        <w:rPr>
          <w:rFonts w:hint="eastAsia" w:ascii="仿宋" w:hAnsi="仿宋" w:eastAsia="仿宋" w:cs="仿宋"/>
          <w:b w:val="0"/>
          <w:bCs w:val="0"/>
          <w:sz w:val="28"/>
          <w:szCs w:val="28"/>
          <w:lang w:eastAsia="zh-CN"/>
        </w:rPr>
        <w:t>三</w:t>
      </w:r>
      <w:r>
        <w:rPr>
          <w:rFonts w:hint="eastAsia" w:ascii="仿宋" w:hAnsi="仿宋" w:eastAsia="仿宋" w:cs="仿宋"/>
          <w:b w:val="0"/>
          <w:bCs w:val="0"/>
          <w:sz w:val="28"/>
          <w:szCs w:val="28"/>
        </w:rPr>
        <w:t>年被评为江西省高校信息化工作“优秀单位”称号；2019年获中央电教馆第三批国家数字校园实验校建设单位授牌；2018年我校《江西首家“诊断与改进平台”“落地”案例》建设项目获得教育部教育管理信息中心2018年教育管理信息化应用优秀案例。</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 教学仪器设备情况</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学校教学、科研仪器设备总值逐年递增，2018年教学仪器设备总值为</w:t>
      </w:r>
      <w:r>
        <w:rPr>
          <w:rFonts w:hint="eastAsia" w:ascii="仿宋" w:hAnsi="仿宋" w:eastAsia="仿宋" w:cs="仿宋"/>
          <w:b w:val="0"/>
          <w:bCs w:val="0"/>
          <w:color w:val="auto"/>
          <w:sz w:val="28"/>
          <w:szCs w:val="28"/>
          <w:lang w:val="en-US" w:eastAsia="zh-CN"/>
        </w:rPr>
        <w:t>8472.56</w:t>
      </w:r>
      <w:r>
        <w:rPr>
          <w:rFonts w:hint="eastAsia" w:ascii="仿宋" w:hAnsi="仿宋" w:eastAsia="仿宋" w:cs="仿宋"/>
          <w:b w:val="0"/>
          <w:bCs w:val="0"/>
          <w:color w:val="auto"/>
          <w:sz w:val="28"/>
          <w:szCs w:val="28"/>
        </w:rPr>
        <w:t>万元，当年新增</w:t>
      </w:r>
      <w:r>
        <w:rPr>
          <w:rFonts w:hint="eastAsia" w:ascii="仿宋" w:hAnsi="仿宋" w:eastAsia="仿宋" w:cs="仿宋"/>
          <w:b w:val="0"/>
          <w:bCs w:val="0"/>
          <w:color w:val="auto"/>
          <w:sz w:val="28"/>
          <w:szCs w:val="28"/>
          <w:lang w:val="en-US" w:eastAsia="zh-CN"/>
        </w:rPr>
        <w:t>1117.4</w:t>
      </w:r>
      <w:r>
        <w:rPr>
          <w:rFonts w:hint="eastAsia" w:ascii="仿宋" w:hAnsi="仿宋" w:eastAsia="仿宋" w:cs="仿宋"/>
          <w:b w:val="0"/>
          <w:bCs w:val="0"/>
          <w:color w:val="auto"/>
          <w:sz w:val="28"/>
          <w:szCs w:val="28"/>
        </w:rPr>
        <w:t>万元，生均值为6423.7元。2019年教学仪器设备总值为</w:t>
      </w:r>
      <w:r>
        <w:rPr>
          <w:rFonts w:hint="eastAsia" w:ascii="仿宋" w:hAnsi="仿宋" w:eastAsia="仿宋" w:cs="仿宋"/>
          <w:b w:val="0"/>
          <w:bCs w:val="0"/>
          <w:color w:val="auto"/>
          <w:sz w:val="28"/>
          <w:szCs w:val="28"/>
          <w:lang w:val="en-US" w:eastAsia="zh-CN"/>
        </w:rPr>
        <w:t>10135.06</w:t>
      </w:r>
      <w:r>
        <w:rPr>
          <w:rFonts w:hint="eastAsia" w:ascii="仿宋" w:hAnsi="仿宋" w:eastAsia="仿宋" w:cs="仿宋"/>
          <w:b w:val="0"/>
          <w:bCs w:val="0"/>
          <w:color w:val="auto"/>
          <w:sz w:val="28"/>
          <w:szCs w:val="28"/>
        </w:rPr>
        <w:t>万元，当年新增</w:t>
      </w:r>
      <w:r>
        <w:rPr>
          <w:rFonts w:hint="eastAsia" w:ascii="仿宋" w:hAnsi="仿宋" w:eastAsia="仿宋" w:cs="仿宋"/>
          <w:b w:val="0"/>
          <w:bCs w:val="0"/>
          <w:color w:val="auto"/>
          <w:sz w:val="28"/>
          <w:szCs w:val="28"/>
          <w:lang w:val="en-US" w:eastAsia="zh-CN"/>
        </w:rPr>
        <w:t>1662.5</w:t>
      </w:r>
      <w:r>
        <w:rPr>
          <w:rFonts w:hint="eastAsia" w:ascii="仿宋" w:hAnsi="仿宋" w:eastAsia="仿宋" w:cs="仿宋"/>
          <w:b w:val="0"/>
          <w:bCs w:val="0"/>
          <w:color w:val="auto"/>
          <w:sz w:val="28"/>
          <w:szCs w:val="28"/>
        </w:rPr>
        <w:t>万元，生均值为6438元。</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textAlignment w:val="auto"/>
        <w:outlineLvl w:val="1"/>
        <w:rPr>
          <w:rFonts w:hint="eastAsia" w:ascii="仿宋" w:hAnsi="仿宋" w:eastAsia="仿宋" w:cs="仿宋"/>
          <w:b w:val="0"/>
          <w:bCs w:val="0"/>
          <w:sz w:val="28"/>
          <w:szCs w:val="28"/>
        </w:rPr>
      </w:pPr>
      <w:bookmarkStart w:id="7" w:name="_Toc31830"/>
      <w:r>
        <w:rPr>
          <w:rFonts w:hint="eastAsia" w:ascii="仿宋" w:hAnsi="仿宋" w:eastAsia="仿宋" w:cs="仿宋"/>
          <w:b w:val="0"/>
          <w:bCs w:val="0"/>
          <w:sz w:val="28"/>
          <w:szCs w:val="28"/>
        </w:rPr>
        <w:t>（二）</w:t>
      </w:r>
      <w:r>
        <w:rPr>
          <w:rFonts w:hint="eastAsia" w:ascii="仿宋" w:hAnsi="仿宋" w:eastAsia="仿宋" w:cs="仿宋"/>
          <w:b w:val="0"/>
          <w:bCs w:val="0"/>
          <w:sz w:val="28"/>
          <w:szCs w:val="28"/>
          <w:lang w:eastAsia="zh-CN"/>
        </w:rPr>
        <w:t>“双师”</w:t>
      </w:r>
      <w:r>
        <w:rPr>
          <w:rFonts w:hint="eastAsia" w:ascii="仿宋" w:hAnsi="仿宋" w:eastAsia="仿宋" w:cs="仿宋"/>
          <w:b w:val="0"/>
          <w:bCs w:val="0"/>
          <w:sz w:val="28"/>
          <w:szCs w:val="28"/>
        </w:rPr>
        <w:t>队伍建设</w:t>
      </w:r>
      <w:bookmarkEnd w:id="7"/>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强化师德建设，培育“四有”引路人</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贯彻落实教育部《关于建立健全高校师德建设长效机制的意见》、《高校教师职业道德规范》，制定出台《江西旅游商贸职业学院师德师风建设实施方案》，把师德贯彻于教育、培训、管理全过程，细化师德考评标准。加强教师政治引领，切实将思想政治素质和师德师风摆在教师评价首位，在职务（职称）晋升、导师遴选、岗位聘用、评优奖励等方面，实行师德考核“一票否决制”。将师德规范教育、遵纪守法教育作为每年新教师岗前培训的重要内容，不断创新师德师风建设新方式。定期开展师德师风先进典型评选和宣传活动，邀请知名专家、师德标兵等作报告，引导教师争做“四有好教师”和“四个引路人”，增强全体教职工教书育人的责任感和使命感。</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内培外引，不断优化教师队伍结构</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学校实施“人才强校”计划，加速高层次人才内培外引力度。推进以“双师型”素质为导向的新教师准入制度改革，注重从高校、行业企业招录和引进符合专业教学要求的优秀人才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2018年以来，学校引进专任教师95人，专任教师总量达到879人，生师比稳定在17.6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左右，其中，具有硕士及以上学位的教师占比由76%提高至80%；高级职称教师占比由20%提高至25%；3人取得博士学位，8人在职攻读博士学位；经教育厅认定的“双师型”教师173人，占专业课教师的比例由35%提高至48%，其中，中高级“双师”占比为36%；新增省级教学名师1人，国家级教学创新团队1个；新增国家级技能大师工作室1个、省级技能大师工作室2个；新增江西省职业院校教师素质提高计划专家库专家9人，省级职业教育专家库专家31人。高端人才在专业建设、教育教学改革及创新性技术技能人才培养方面引领带动作用得以充分发挥。</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柔性引进，加强兼职教师队伍建设</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制定出台《高层次人才引进暂行办法》《自聘人事代理人员管理办法》《外聘兼职人员管理办法》等制度，进一步加大开放式柔性引进力度，采取兼职、短期、不定期等多种灵活多样的形式引才、聚才。依托江西旅游职教集团、供销职教集团，建立兼职教师师资库，积极聘请行业专家、能工巧匠、企业高管和高级技术技能人才参与人才培养模式改革、课程体系构建、教材建设、以及校内外实习实训基地的建设与管理等工作，目前，学校兼职教师师资库已达350多人，占专任教师的39%左右；遴选省级特聘教师6人、校级特特聘教师60多人。学校有针对性地加强对兼职教师管理与培训，完善兼职教师和专任教师互学互帮机制，一方面，促进兼职教师掌握高职教育教学的特点，切实提升教育教学能力；另一方面，以专业素质好、教学水平高的兼职教师来带动专任教师的发展，打造“专业带头人+骨干教师+能工巧匠”的旅商特色的师资队伍。</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推进人事制度改革，激发教师内在活力</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制定出台《新形势下加强人才工作的意见》《江西旅游商贸职业学院绩效工资实施方案》等制度，启动专业技术职称评聘晋升、绩效工资改革、重要教学研究项目奖励性绩效等配套改革措施，在职称评审、岗位聘用、薪酬分配、人才培育过程中，克服唯学历、唯资历、唯论文等倾向，鼓励人才在不同领域、不同岗位作出贡献、追求卓越。修订教师基本工作量考核暂行规定，落实个人岗位考核、单位目标考核与绩效工资挂钩，实现以实绩和贡献为依据的绩效工资分配,向贡献突出单位、重点建设专业倾斜；强化年度考核结果的运用，明确根据年度考核结果调整奖励性绩效工资的办法，充分调动人才积极性；探索建立与考核评价相配套的教师退出机制。截至目前，教师管理科学规范，更加开放、更具活力的教师管理工作机制基本形成。</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加强培养培训，大力提升教师双师素质</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遵循教师成长发展规律，通过教学培训、深入课堂听课、专家讲座、骨干教师一对一帮扶等途径，着力培养职业化、专业化青年教师，助推教师专业素质和教学能力提升。修订《江西旅游商贸职业学院教师下企业管理办法》，全面落实教师每年1个月在企业或实训基地实训、5年一周期的全员轮训制度，将教师的实践经验作为职称评聘的条件之一，促使专业教师主动开展下企业实践活动，更新专业知识、提升专业实践能力。组织教师参加国培、省培项目，邀请国内外知名专家学者围绕课程思政、信息化教学、师德师风、专业建设等问题开展系列培训与研究；以赛代训，每学期举办“创课杯”教师教学能力大赛，每学年开展一次优质课评选、教学优秀奖评选活动。大力支持专业教师参加各类职业技能培训，鼓励教师取得职业资格证书。完善教师出国（境）研修管理办法，加大优秀青年教师到国际一流大学或科研机构开展科研合作或交流的选派力度，逐步实现教师一专多能，不断提高“双师型”教师比例。2018年以来，学校开展各类师资培训项目26个，参训人数3200余人次；每年组织专业教师到企业进行业务培训和学习260多人次，下企业实践锻炼1个月以上的专业教师达117人次；先后组织两批次骨干教师8人赴美国、德国等国家交流访学。同时，学校拥有江西省中等职业学校“双师”教师培训基地、全国电商行指委电子商务“双师型”师资培训基地，两年来，培训培育教师近700人次。目前，学校正在申报省级“双师型”教师培养培训基地。</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名师引领，打造优秀专业教学团队</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依托江西旅游职教集团、供销职教集团，构建产学研育人平台，汇聚和整合行业优秀人才资源，大力拓宽从行业聘任高技能人才的渠道。组建徐孙君国家级技能大师工作室等名师工作室，开展专业教育，参与实践教学，示范绝技绝活，用精益求精、脚踏实地、吃苦耐劳、追求极致的劳模精神、工匠精神培养和引领在校师生。目前，学校拥有1个国家级技能大师工作室、2个省级技能大师工作室、8个校级技能大师工作室，近两年开展“工匠精神内涵”“餐厅服务”“非遗传承技艺”等8场专题培训，参加培训师生近2000人次。同时，学校制定《优秀专业教学团队建设与管理暂行办法》，以名师、大师工作室为引领，加大教学科研团队的培育力度，助推教师教学、科研及服务能力的提升。近两年，物流管理专业入选首批国家级职业教育教师教学创新团队；教师参加省级教学竞赛获奖110余项；指导学生参加国家级技能竞赛获奖11项；教师立项课题</w:t>
      </w:r>
      <w:r>
        <w:rPr>
          <w:rFonts w:hint="eastAsia" w:ascii="仿宋" w:hAnsi="仿宋" w:eastAsia="仿宋" w:cs="仿宋"/>
          <w:b w:val="0"/>
          <w:bCs w:val="0"/>
          <w:sz w:val="28"/>
          <w:szCs w:val="28"/>
          <w:lang w:val="en-US" w:eastAsia="zh-CN"/>
        </w:rPr>
        <w:t>101</w:t>
      </w:r>
      <w:r>
        <w:rPr>
          <w:rFonts w:hint="eastAsia" w:ascii="仿宋" w:hAnsi="仿宋" w:eastAsia="仿宋" w:cs="仿宋"/>
          <w:b w:val="0"/>
          <w:bCs w:val="0"/>
          <w:sz w:val="28"/>
          <w:szCs w:val="28"/>
        </w:rPr>
        <w:t>项、结题74项，其中</w:t>
      </w:r>
      <w:r>
        <w:rPr>
          <w:rFonts w:hint="eastAsia" w:ascii="仿宋" w:hAnsi="仿宋" w:eastAsia="仿宋" w:cs="仿宋"/>
          <w:b w:val="0"/>
          <w:bCs w:val="0"/>
          <w:sz w:val="28"/>
          <w:szCs w:val="28"/>
          <w:lang w:eastAsia="zh-CN"/>
        </w:rPr>
        <w:t>国家级课题</w:t>
      </w:r>
      <w:r>
        <w:rPr>
          <w:rFonts w:hint="eastAsia" w:ascii="仿宋" w:hAnsi="仿宋" w:eastAsia="仿宋" w:cs="仿宋"/>
          <w:b w:val="0"/>
          <w:bCs w:val="0"/>
          <w:sz w:val="28"/>
          <w:szCs w:val="28"/>
          <w:lang w:val="en-US" w:eastAsia="zh-CN"/>
        </w:rPr>
        <w:t>2项、</w:t>
      </w:r>
      <w:r>
        <w:rPr>
          <w:rFonts w:hint="eastAsia" w:ascii="仿宋" w:hAnsi="仿宋" w:eastAsia="仿宋" w:cs="仿宋"/>
          <w:b w:val="0"/>
          <w:bCs w:val="0"/>
          <w:sz w:val="28"/>
          <w:szCs w:val="28"/>
        </w:rPr>
        <w:t>省级课题47项；发表论文356篇,国家级专利16项；获全国供销行指委教学成果特等奖1项、省级教学成果奖一等奖4项、二等奖1项。</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表</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 xml:space="preserve">  学校师资与“双师”教师队伍建设</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textAlignment w:val="auto"/>
        <w:outlineLvl w:val="1"/>
        <w:rPr>
          <w:rFonts w:hint="eastAsia" w:ascii="仿宋" w:hAnsi="仿宋" w:eastAsia="仿宋" w:cs="仿宋"/>
          <w:b w:val="0"/>
          <w:bCs w:val="0"/>
          <w:sz w:val="28"/>
          <w:szCs w:val="28"/>
        </w:rPr>
      </w:pPr>
      <w:bookmarkStart w:id="8" w:name="_Toc8966"/>
      <w:r>
        <w:rPr>
          <w:rFonts w:hint="eastAsia" w:ascii="仿宋" w:hAnsi="仿宋" w:eastAsia="仿宋" w:cs="仿宋"/>
          <w:b w:val="0"/>
          <w:bCs w:val="0"/>
          <w:sz w:val="28"/>
          <w:szCs w:val="28"/>
        </w:rPr>
        <w:drawing>
          <wp:anchor distT="0" distB="0" distL="114300" distR="114300" simplePos="0" relativeHeight="251661312" behindDoc="0" locked="0" layoutInCell="1" allowOverlap="1">
            <wp:simplePos x="0" y="0"/>
            <wp:positionH relativeFrom="column">
              <wp:posOffset>-24765</wp:posOffset>
            </wp:positionH>
            <wp:positionV relativeFrom="paragraph">
              <wp:posOffset>24130</wp:posOffset>
            </wp:positionV>
            <wp:extent cx="5603240" cy="4173855"/>
            <wp:effectExtent l="0" t="0" r="16510" b="17145"/>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5603240" cy="4173855"/>
                    </a:xfrm>
                    <a:prstGeom prst="rect">
                      <a:avLst/>
                    </a:prstGeom>
                    <a:noFill/>
                    <a:ln>
                      <a:noFill/>
                    </a:ln>
                  </pic:spPr>
                </pic:pic>
              </a:graphicData>
            </a:graphic>
          </wp:anchor>
        </w:drawing>
      </w:r>
      <w:r>
        <w:rPr>
          <w:rFonts w:hint="eastAsia" w:ascii="仿宋" w:hAnsi="仿宋" w:eastAsia="仿宋" w:cs="仿宋"/>
          <w:b w:val="0"/>
          <w:bCs w:val="0"/>
          <w:sz w:val="28"/>
          <w:szCs w:val="28"/>
        </w:rPr>
        <w:t>（三）专业人才培养</w:t>
      </w:r>
      <w:bookmarkEnd w:id="8"/>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 专业布局结构及学生分布</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学校设有旅游学院、会计金融学院、经济管理学院、国际商务学院等7个学院，开设导游、酒店管理、旅游管理、汽车检测与维修技术、物流管理、会计电算化等</w:t>
      </w:r>
      <w:r>
        <w:rPr>
          <w:rFonts w:hint="eastAsia" w:ascii="仿宋" w:hAnsi="仿宋" w:eastAsia="仿宋" w:cs="仿宋"/>
          <w:b w:val="0"/>
          <w:bCs w:val="0"/>
          <w:sz w:val="28"/>
          <w:szCs w:val="28"/>
          <w:lang w:val="en-US" w:eastAsia="zh-CN"/>
        </w:rPr>
        <w:t>50多</w:t>
      </w:r>
      <w:r>
        <w:rPr>
          <w:rFonts w:hint="eastAsia" w:ascii="仿宋" w:hAnsi="仿宋" w:eastAsia="仿宋" w:cs="仿宋"/>
          <w:b w:val="0"/>
          <w:bCs w:val="0"/>
          <w:sz w:val="28"/>
          <w:szCs w:val="28"/>
        </w:rPr>
        <w:t>个专业。</w:t>
      </w:r>
      <w:r>
        <w:rPr>
          <w:rFonts w:hint="eastAsia" w:ascii="仿宋" w:hAnsi="仿宋" w:eastAsia="仿宋" w:cs="仿宋"/>
          <w:b w:val="0"/>
          <w:bCs w:val="0"/>
          <w:color w:val="auto"/>
          <w:kern w:val="0"/>
          <w:sz w:val="28"/>
          <w:szCs w:val="28"/>
          <w:lang w:eastAsia="zh-CN"/>
        </w:rPr>
        <w:t>新增国家级骨干专业5个、教育部现代学徒制试点专业3个、省优势和特色专业</w:t>
      </w:r>
      <w:r>
        <w:rPr>
          <w:rFonts w:hint="eastAsia" w:ascii="仿宋" w:hAnsi="仿宋" w:eastAsia="仿宋" w:cs="仿宋"/>
          <w:b w:val="0"/>
          <w:bCs w:val="0"/>
          <w:color w:val="auto"/>
          <w:kern w:val="0"/>
          <w:sz w:val="28"/>
          <w:szCs w:val="28"/>
          <w:lang w:val="en-US" w:eastAsia="zh-CN"/>
        </w:rPr>
        <w:t>5</w:t>
      </w:r>
      <w:r>
        <w:rPr>
          <w:rFonts w:hint="eastAsia" w:ascii="仿宋" w:hAnsi="仿宋" w:eastAsia="仿宋" w:cs="仿宋"/>
          <w:b w:val="0"/>
          <w:bCs w:val="0"/>
          <w:color w:val="auto"/>
          <w:kern w:val="0"/>
          <w:sz w:val="28"/>
          <w:szCs w:val="28"/>
          <w:lang w:eastAsia="zh-CN"/>
        </w:rPr>
        <w:t>个、省级骨干专业</w:t>
      </w: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lang w:eastAsia="zh-CN"/>
        </w:rPr>
        <w:t>个、省级现代学徒制试点专业</w:t>
      </w:r>
      <w:r>
        <w:rPr>
          <w:rFonts w:hint="eastAsia" w:ascii="仿宋" w:hAnsi="仿宋" w:eastAsia="仿宋" w:cs="仿宋"/>
          <w:b w:val="0"/>
          <w:bCs w:val="0"/>
          <w:color w:val="auto"/>
          <w:kern w:val="0"/>
          <w:sz w:val="28"/>
          <w:szCs w:val="28"/>
          <w:lang w:val="en-US" w:eastAsia="zh-CN"/>
        </w:rPr>
        <w:t>4</w:t>
      </w:r>
      <w:r>
        <w:rPr>
          <w:rFonts w:hint="eastAsia" w:ascii="仿宋" w:hAnsi="仿宋" w:eastAsia="仿宋" w:cs="仿宋"/>
          <w:b w:val="0"/>
          <w:bCs w:val="0"/>
          <w:color w:val="auto"/>
          <w:kern w:val="0"/>
          <w:sz w:val="28"/>
          <w:szCs w:val="28"/>
          <w:lang w:eastAsia="zh-CN"/>
        </w:rPr>
        <w:t>个</w:t>
      </w:r>
      <w:r>
        <w:rPr>
          <w:rFonts w:hint="eastAsia" w:ascii="仿宋" w:hAnsi="仿宋" w:eastAsia="仿宋" w:cs="仿宋"/>
          <w:b w:val="0"/>
          <w:bCs w:val="0"/>
          <w:color w:val="auto"/>
          <w:sz w:val="28"/>
          <w:szCs w:val="28"/>
        </w:rPr>
        <w:t>。</w:t>
      </w:r>
      <w:r>
        <w:rPr>
          <w:rFonts w:hint="eastAsia" w:ascii="仿宋" w:hAnsi="仿宋" w:eastAsia="仿宋" w:cs="仿宋"/>
          <w:b w:val="0"/>
          <w:bCs w:val="0"/>
          <w:sz w:val="28"/>
          <w:szCs w:val="28"/>
        </w:rPr>
        <w:t>专业设置方向</w:t>
      </w:r>
      <w:r>
        <w:rPr>
          <w:rFonts w:hint="eastAsia" w:ascii="仿宋" w:hAnsi="仿宋" w:eastAsia="仿宋" w:cs="仿宋"/>
          <w:b w:val="0"/>
          <w:bCs w:val="0"/>
          <w:sz w:val="28"/>
          <w:szCs w:val="28"/>
          <w:lang w:eastAsia="zh-CN"/>
        </w:rPr>
        <w:t>紧密对接</w:t>
      </w:r>
      <w:r>
        <w:rPr>
          <w:rFonts w:hint="eastAsia" w:ascii="仿宋" w:hAnsi="仿宋" w:eastAsia="仿宋" w:cs="仿宋"/>
          <w:b w:val="0"/>
          <w:bCs w:val="0"/>
          <w:sz w:val="28"/>
          <w:szCs w:val="28"/>
        </w:rPr>
        <w:t>江西南昌经济社会发展的</w:t>
      </w:r>
      <w:r>
        <w:rPr>
          <w:rFonts w:hint="eastAsia" w:ascii="仿宋" w:hAnsi="仿宋" w:eastAsia="仿宋" w:cs="仿宋"/>
          <w:b w:val="0"/>
          <w:bCs w:val="0"/>
          <w:sz w:val="28"/>
          <w:szCs w:val="28"/>
          <w:lang w:eastAsia="zh-CN"/>
        </w:rPr>
        <w:t>旅游、商贸等</w:t>
      </w:r>
      <w:r>
        <w:rPr>
          <w:rFonts w:hint="eastAsia" w:ascii="仿宋" w:hAnsi="仿宋" w:eastAsia="仿宋" w:cs="仿宋"/>
          <w:b w:val="0"/>
          <w:bCs w:val="0"/>
          <w:sz w:val="28"/>
          <w:szCs w:val="28"/>
        </w:rPr>
        <w:t>产业，与当地产业匹配度较好。</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表</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 xml:space="preserve">  我校各专业（点）分布数</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专业代码大类</w:t>
            </w: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专业大类名称</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专业（点）分布数</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在校生人数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54</w:t>
            </w: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土木建筑大类</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2</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55</w:t>
            </w: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装备制造大类</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7</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60</w:t>
            </w: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交通运输大类</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61</w:t>
            </w: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电子信息大类</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3</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63</w:t>
            </w: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财经商贸大类</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11</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5644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64</w:t>
            </w: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旅游大类</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7</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65</w:t>
            </w: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文化艺术大类</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4</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66</w:t>
            </w: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新闻传播大类</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1</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67</w:t>
            </w:r>
          </w:p>
        </w:tc>
        <w:tc>
          <w:tcPr>
            <w:tcW w:w="21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教育与体育大类</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val="en-US" w:eastAsia="zh-CN"/>
              </w:rPr>
              <w:t>4</w:t>
            </w:r>
          </w:p>
        </w:tc>
        <w:tc>
          <w:tcPr>
            <w:tcW w:w="213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2470</w:t>
            </w:r>
          </w:p>
        </w:tc>
      </w:tr>
    </w:tbl>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 专业人才培养模式改革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outlineLvl w:val="9"/>
        <w:rPr>
          <w:rFonts w:hint="eastAsia" w:ascii="仿宋" w:hAnsi="仿宋" w:eastAsia="仿宋" w:cs="仿宋"/>
          <w:b w:val="0"/>
          <w:bCs w:val="0"/>
          <w:color w:val="auto"/>
          <w:kern w:val="0"/>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坚持</w:t>
      </w:r>
      <w:r>
        <w:rPr>
          <w:rFonts w:hint="eastAsia" w:ascii="仿宋" w:hAnsi="仿宋" w:eastAsia="仿宋" w:cs="仿宋"/>
          <w:b w:val="0"/>
          <w:bCs w:val="0"/>
          <w:color w:val="auto"/>
          <w:sz w:val="28"/>
          <w:szCs w:val="28"/>
          <w:lang w:eastAsia="zh-CN"/>
        </w:rPr>
        <w:t>专本</w:t>
      </w:r>
      <w:r>
        <w:rPr>
          <w:rFonts w:hint="eastAsia" w:ascii="仿宋" w:hAnsi="仿宋" w:eastAsia="仿宋" w:cs="仿宋"/>
          <w:b w:val="0"/>
          <w:bCs w:val="0"/>
          <w:color w:val="auto"/>
          <w:sz w:val="28"/>
          <w:szCs w:val="28"/>
        </w:rPr>
        <w:t>职衔接贯通培养。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outlineLvl w:val="9"/>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为构建江西现代职业教育体系，实施职业教育专、本科衔接，2014年我省顺利启动了高职学院与普通本科高校联合培养应用本科人才试点项目工作。</w:t>
      </w:r>
      <w:r>
        <w:rPr>
          <w:rFonts w:hint="eastAsia" w:ascii="仿宋" w:hAnsi="仿宋" w:eastAsia="仿宋" w:cs="仿宋"/>
          <w:b w:val="0"/>
          <w:bCs w:val="0"/>
          <w:color w:val="auto"/>
          <w:kern w:val="0"/>
          <w:sz w:val="28"/>
          <w:szCs w:val="28"/>
          <w:lang w:eastAsia="zh-CN"/>
        </w:rPr>
        <w:t>学校</w:t>
      </w:r>
      <w:r>
        <w:rPr>
          <w:rFonts w:hint="eastAsia" w:ascii="仿宋" w:hAnsi="仿宋" w:eastAsia="仿宋" w:cs="仿宋"/>
          <w:b w:val="0"/>
          <w:bCs w:val="0"/>
          <w:color w:val="auto"/>
          <w:kern w:val="0"/>
          <w:sz w:val="28"/>
          <w:szCs w:val="28"/>
        </w:rPr>
        <w:t>成为江西省首批应用技术型本科人才联合培养试点单位，获准与江西科技师范大学联合举办旅游管理（高级管家方向）</w:t>
      </w:r>
      <w:r>
        <w:rPr>
          <w:rFonts w:hint="eastAsia" w:ascii="仿宋" w:hAnsi="仿宋" w:eastAsia="仿宋" w:cs="仿宋"/>
          <w:b w:val="0"/>
          <w:bCs w:val="0"/>
          <w:color w:val="auto"/>
          <w:kern w:val="0"/>
          <w:sz w:val="28"/>
          <w:szCs w:val="28"/>
          <w:lang w:eastAsia="zh-CN"/>
        </w:rPr>
        <w:t>和</w:t>
      </w:r>
      <w:r>
        <w:rPr>
          <w:rFonts w:hint="eastAsia" w:ascii="仿宋" w:hAnsi="仿宋" w:eastAsia="仿宋" w:cs="仿宋"/>
          <w:b w:val="0"/>
          <w:bCs w:val="0"/>
          <w:color w:val="auto"/>
          <w:kern w:val="0"/>
          <w:sz w:val="28"/>
          <w:szCs w:val="28"/>
          <w:lang w:val="en-US" w:eastAsia="zh-CN"/>
        </w:rPr>
        <w:t>物流管理专业。应用本科实验班</w:t>
      </w:r>
      <w:r>
        <w:rPr>
          <w:rFonts w:hint="eastAsia" w:ascii="仿宋" w:hAnsi="仿宋" w:eastAsia="仿宋" w:cs="仿宋"/>
          <w:b w:val="0"/>
          <w:bCs w:val="0"/>
          <w:color w:val="auto"/>
          <w:kern w:val="0"/>
          <w:sz w:val="28"/>
          <w:szCs w:val="28"/>
        </w:rPr>
        <w:t>培养目标准确、培养内容系统、培养模式新颖、培养机制灵活、就业方向清晰。通过</w:t>
      </w:r>
      <w:r>
        <w:rPr>
          <w:rFonts w:hint="eastAsia" w:ascii="仿宋" w:hAnsi="仿宋" w:eastAsia="仿宋" w:cs="仿宋"/>
          <w:b w:val="0"/>
          <w:bCs w:val="0"/>
          <w:color w:val="auto"/>
          <w:kern w:val="0"/>
          <w:sz w:val="28"/>
          <w:szCs w:val="28"/>
          <w:lang w:val="en-US" w:eastAsia="zh-CN"/>
        </w:rPr>
        <w:t>6</w:t>
      </w:r>
      <w:r>
        <w:rPr>
          <w:rFonts w:hint="eastAsia" w:ascii="仿宋" w:hAnsi="仿宋" w:eastAsia="仿宋" w:cs="仿宋"/>
          <w:b w:val="0"/>
          <w:bCs w:val="0"/>
          <w:color w:val="auto"/>
          <w:kern w:val="0"/>
          <w:sz w:val="28"/>
          <w:szCs w:val="28"/>
        </w:rPr>
        <w:t>年的探索与培养，学生在服务技术、管理技能、</w:t>
      </w:r>
      <w:r>
        <w:rPr>
          <w:rFonts w:hint="eastAsia" w:ascii="仿宋" w:hAnsi="仿宋" w:eastAsia="仿宋" w:cs="仿宋"/>
          <w:b w:val="0"/>
          <w:bCs w:val="0"/>
          <w:color w:val="auto"/>
          <w:kern w:val="0"/>
          <w:sz w:val="28"/>
          <w:szCs w:val="28"/>
          <w:lang w:val="en-US" w:eastAsia="zh-CN"/>
        </w:rPr>
        <w:t>创新创业能力、综合素质等方面均取得了喜人的成绩，《“多元协同、校企融合、对口贯通”酒店管理职教本科人才进阶培养模式改革与实践》获江西省第十六批教学成果奖一等奖。</w:t>
      </w:r>
    </w:p>
    <w:p>
      <w:pPr>
        <w:keepNext w:val="0"/>
        <w:keepLines w:val="0"/>
        <w:pageBreakBefore w:val="0"/>
        <w:widowControl/>
        <w:kinsoku/>
        <w:overflowPunct/>
        <w:topLinePunct w:val="0"/>
        <w:autoSpaceDE/>
        <w:autoSpaceDN/>
        <w:bidi w:val="0"/>
        <w:adjustRightInd/>
        <w:snapToGrid/>
        <w:spacing w:line="240" w:lineRule="auto"/>
        <w:ind w:firstLine="560" w:firstLineChars="200"/>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坚持产教融合人才培养模式。学校以产教融合、校企合作为基本人才培养模式，以“引企入校”、企业出“资”、学校出“智”的方式，紧扣理论课程、实验实训、实习三个教学关键环节，实行订单制、学徒制、合作办班等人才培养形式。经管学院与德邦物流、顺丰速运、国美电器公司等“订单式”培养项目，旅游学院赴日研修项目、与北上广深等五星酒店的合作项目，会计学院与江浙沪地区“好又多超市”工学交替培养项目等，探索出一套切实可行的技术技能培养路径，积累了丰富的办学经验。现有校企合作单位139家，与学校开展深度合作企业4家，成功进入教育部首批校企深度合作项目的国家级遴选区</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kern w:val="0"/>
          <w:sz w:val="28"/>
          <w:szCs w:val="28"/>
          <w:lang w:eastAsia="zh-CN"/>
        </w:rPr>
        <w:t>获批教育部现代学徒制试点专业3个、省级现代学徒制试点专业</w:t>
      </w:r>
      <w:r>
        <w:rPr>
          <w:rFonts w:hint="eastAsia" w:ascii="仿宋" w:hAnsi="仿宋" w:eastAsia="仿宋" w:cs="仿宋"/>
          <w:b w:val="0"/>
          <w:bCs w:val="0"/>
          <w:color w:val="auto"/>
          <w:kern w:val="0"/>
          <w:sz w:val="28"/>
          <w:szCs w:val="28"/>
          <w:lang w:val="en-US" w:eastAsia="zh-CN"/>
        </w:rPr>
        <w:t>4</w:t>
      </w:r>
      <w:r>
        <w:rPr>
          <w:rFonts w:hint="eastAsia" w:ascii="仿宋" w:hAnsi="仿宋" w:eastAsia="仿宋" w:cs="仿宋"/>
          <w:b w:val="0"/>
          <w:bCs w:val="0"/>
          <w:color w:val="auto"/>
          <w:kern w:val="0"/>
          <w:sz w:val="28"/>
          <w:szCs w:val="28"/>
          <w:lang w:eastAsia="zh-CN"/>
        </w:rPr>
        <w:t>个</w:t>
      </w:r>
      <w:r>
        <w:rPr>
          <w:rFonts w:hint="eastAsia" w:ascii="仿宋" w:hAnsi="仿宋" w:eastAsia="仿宋" w:cs="仿宋"/>
          <w:b w:val="0"/>
          <w:bCs w:val="0"/>
          <w:color w:val="auto"/>
          <w:sz w:val="28"/>
          <w:szCs w:val="28"/>
        </w:rPr>
        <w:t>。</w:t>
      </w:r>
    </w:p>
    <w:p>
      <w:pPr>
        <w:keepNext w:val="0"/>
        <w:keepLines w:val="0"/>
        <w:pageBreakBefore w:val="0"/>
        <w:widowControl/>
        <w:kinsoku/>
        <w:overflowPunct/>
        <w:topLinePunct w:val="0"/>
        <w:autoSpaceDE/>
        <w:autoSpaceDN/>
        <w:bidi w:val="0"/>
        <w:adjustRightInd/>
        <w:snapToGrid/>
        <w:spacing w:line="24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坚持中高职衔接贯通培养。学校积极参与现代职教体系构建，先后与资溪县职业学校、彭泽县职业教育中心、上饶电子工业学校、靖安职业中等专业学校、赣州华坚科技学校、赣州旅游职业学校、南丰职业中等职业学校、赣县汽车职业技术学校、景德镇机电工程学校、广昌县职业技术学校、上饶市信州理工学校、上饶市职业中学、大余职业技术教育中心等13所学校建立了3+2中高职对接合作办学关系，积极探索“中职-高职”相衔接的技术技能人才培养路径。</w:t>
      </w:r>
    </w:p>
    <w:p>
      <w:pPr>
        <w:keepNext w:val="0"/>
        <w:keepLines w:val="0"/>
        <w:pageBreakBefore w:val="0"/>
        <w:widowControl/>
        <w:kinsoku/>
        <w:overflowPunct/>
        <w:topLinePunct w:val="0"/>
        <w:autoSpaceDE/>
        <w:autoSpaceDN/>
        <w:bidi w:val="0"/>
        <w:adjustRightInd/>
        <w:snapToGrid/>
        <w:spacing w:line="24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坚持加强国际合作交流。学校高度重视国际合作办学，积极与国外以及港澳台地区的高校研究机构、企业开展交流与合作。</w:t>
      </w:r>
      <w:r>
        <w:rPr>
          <w:rFonts w:hint="eastAsia" w:ascii="仿宋" w:hAnsi="仿宋" w:eastAsia="仿宋" w:cs="仿宋"/>
          <w:b w:val="0"/>
          <w:bCs w:val="0"/>
          <w:color w:val="auto"/>
          <w:sz w:val="28"/>
          <w:szCs w:val="28"/>
          <w:lang w:val="en-US" w:eastAsia="zh-CN"/>
        </w:rPr>
        <w:t>2020年</w:t>
      </w:r>
      <w:r>
        <w:rPr>
          <w:rFonts w:hint="eastAsia" w:ascii="仿宋" w:hAnsi="仿宋" w:eastAsia="仿宋" w:cs="仿宋"/>
          <w:b w:val="0"/>
          <w:bCs w:val="0"/>
          <w:color w:val="auto"/>
          <w:sz w:val="28"/>
          <w:szCs w:val="28"/>
        </w:rPr>
        <w:t>与美国夏威夷大学卡比奥拉尼学院合作开设“旅游管理”专业的中美专科学历教育项目</w:t>
      </w:r>
      <w:r>
        <w:rPr>
          <w:rFonts w:hint="eastAsia" w:ascii="仿宋" w:hAnsi="仿宋" w:eastAsia="仿宋" w:cs="仿宋"/>
          <w:b w:val="0"/>
          <w:bCs w:val="0"/>
          <w:color w:val="auto"/>
          <w:sz w:val="28"/>
          <w:szCs w:val="28"/>
          <w:lang w:eastAsia="zh-CN"/>
        </w:rPr>
        <w:t>已成功招生。</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 课程</w:t>
      </w:r>
      <w:r>
        <w:rPr>
          <w:rFonts w:hint="eastAsia" w:ascii="仿宋" w:hAnsi="仿宋" w:eastAsia="仿宋" w:cs="仿宋"/>
          <w:b w:val="0"/>
          <w:bCs w:val="0"/>
          <w:sz w:val="28"/>
          <w:szCs w:val="28"/>
          <w:lang w:eastAsia="zh-CN"/>
        </w:rPr>
        <w:t>体系</w:t>
      </w:r>
      <w:r>
        <w:rPr>
          <w:rFonts w:hint="eastAsia" w:ascii="仿宋" w:hAnsi="仿宋" w:eastAsia="仿宋" w:cs="仿宋"/>
          <w:b w:val="0"/>
          <w:bCs w:val="0"/>
          <w:sz w:val="28"/>
          <w:szCs w:val="28"/>
        </w:rPr>
        <w:t>建设</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学校确立了“学习内容与职业实际基本一致，实现知识与技能和谐发展、学业与就业无缝对接”的课程建设总思路，</w:t>
      </w:r>
      <w:r>
        <w:rPr>
          <w:rFonts w:hint="eastAsia" w:ascii="仿宋" w:hAnsi="仿宋" w:eastAsia="仿宋" w:cs="仿宋"/>
          <w:b w:val="0"/>
          <w:bCs w:val="0"/>
          <w:sz w:val="28"/>
          <w:szCs w:val="28"/>
        </w:rPr>
        <w:t>开设的课程结构是由课堂教学和实训实践两方面构成，学时数比例为1:1。课堂教学包括职业素质课程25%、岗位基本学习领域课程25%、岗位核心学习领域课程40%、岗位拓展提升学习领域课程10%；</w:t>
      </w:r>
      <w:r>
        <w:rPr>
          <w:rFonts w:hint="eastAsia" w:ascii="仿宋" w:hAnsi="仿宋" w:eastAsia="仿宋" w:cs="仿宋"/>
          <w:b w:val="0"/>
          <w:bCs w:val="0"/>
          <w:sz w:val="28"/>
          <w:szCs w:val="28"/>
          <w:lang w:eastAsia="zh-CN"/>
        </w:rPr>
        <w:t>实习</w:t>
      </w:r>
      <w:r>
        <w:rPr>
          <w:rFonts w:hint="eastAsia" w:ascii="仿宋" w:hAnsi="仿宋" w:eastAsia="仿宋" w:cs="仿宋"/>
          <w:b w:val="0"/>
          <w:bCs w:val="0"/>
          <w:sz w:val="28"/>
          <w:szCs w:val="28"/>
        </w:rPr>
        <w:t>实训包括工学交替、社会实践、毕业实习、课外第二课堂等等。</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学校通过实施</w:t>
      </w:r>
      <w:r>
        <w:rPr>
          <w:rFonts w:hint="eastAsia" w:ascii="仿宋" w:hAnsi="仿宋" w:eastAsia="仿宋" w:cs="仿宋"/>
          <w:b w:val="0"/>
          <w:bCs w:val="0"/>
          <w:sz w:val="28"/>
          <w:szCs w:val="28"/>
          <w:lang w:eastAsia="zh-CN"/>
        </w:rPr>
        <w:t>“创课杯”信息化教学比赛</w:t>
      </w:r>
      <w:r>
        <w:rPr>
          <w:rFonts w:hint="eastAsia" w:ascii="仿宋" w:hAnsi="仿宋" w:eastAsia="仿宋" w:cs="仿宋"/>
          <w:b w:val="0"/>
          <w:bCs w:val="0"/>
          <w:sz w:val="28"/>
          <w:szCs w:val="28"/>
        </w:rPr>
        <w:t>、教学成果的培育等系列措施，较好地实现了专业建设与产业发展有机结合、教学内容与职业标准深度融合、教学过程与生产过程对接、学历证书与职业资格证书对接、学校与企业共同育人高度契合。教学做一体化、</w:t>
      </w:r>
      <w:r>
        <w:rPr>
          <w:rFonts w:hint="eastAsia" w:ascii="仿宋" w:hAnsi="仿宋" w:eastAsia="仿宋" w:cs="仿宋"/>
          <w:b w:val="0"/>
          <w:bCs w:val="0"/>
          <w:sz w:val="28"/>
          <w:szCs w:val="28"/>
          <w:lang w:eastAsia="zh-CN"/>
        </w:rPr>
        <w:t>信息化</w:t>
      </w:r>
      <w:r>
        <w:rPr>
          <w:rFonts w:hint="eastAsia" w:ascii="仿宋" w:hAnsi="仿宋" w:eastAsia="仿宋" w:cs="仿宋"/>
          <w:b w:val="0"/>
          <w:bCs w:val="0"/>
          <w:sz w:val="28"/>
          <w:szCs w:val="28"/>
        </w:rPr>
        <w:t>教学、现代学徒制等教学改革取得初步成效。</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2018年-2019年参与国家级教学资源库子项目《红色旅游开发与管理》教学资源的开发，新增</w:t>
      </w:r>
      <w:r>
        <w:rPr>
          <w:rFonts w:hint="eastAsia" w:ascii="仿宋" w:hAnsi="仿宋" w:eastAsia="仿宋" w:cs="仿宋"/>
          <w:b w:val="0"/>
          <w:bCs w:val="0"/>
          <w:sz w:val="28"/>
          <w:szCs w:val="28"/>
          <w:lang w:eastAsia="zh-CN"/>
        </w:rPr>
        <w:t>省级高等职业教育专业教学资源库建设项目</w:t>
      </w:r>
      <w:r>
        <w:rPr>
          <w:rFonts w:hint="eastAsia" w:ascii="仿宋" w:hAnsi="仿宋" w:eastAsia="仿宋" w:cs="仿宋"/>
          <w:b w:val="0"/>
          <w:bCs w:val="0"/>
          <w:sz w:val="28"/>
          <w:szCs w:val="28"/>
          <w:lang w:val="en-US" w:eastAsia="zh-CN"/>
        </w:rPr>
        <w:t>3项、省级在线精品开放课程14门、入选教育部全国物流职业教育教学指导委员会公布推荐了在线开放课程资源7门，共获得全国职业院校技能大赛职业院校教学能力比赛二等奖一项、三等奖一项；江西省职业院校信息化教学大赛一等奖二项，二等奖四项，三等奖一项，中职组二等奖四项，三等奖两项。江西省第二届移动教学大赛，获得四个移动先锋奖和优秀组织奖。</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4. 校企合作及实践教学情况</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实验实训是学生获得技术技能的有效途径</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实训实践</w:t>
      </w:r>
      <w:r>
        <w:rPr>
          <w:rFonts w:hint="eastAsia" w:ascii="仿宋" w:hAnsi="仿宋" w:eastAsia="仿宋" w:cs="仿宋"/>
          <w:b w:val="0"/>
          <w:bCs w:val="0"/>
          <w:sz w:val="28"/>
          <w:szCs w:val="28"/>
          <w:lang w:eastAsia="zh-CN"/>
        </w:rPr>
        <w:t>课时占总课时的</w:t>
      </w:r>
      <w:r>
        <w:rPr>
          <w:rFonts w:hint="eastAsia" w:ascii="仿宋" w:hAnsi="仿宋" w:eastAsia="仿宋" w:cs="仿宋"/>
          <w:b w:val="0"/>
          <w:bCs w:val="0"/>
          <w:sz w:val="28"/>
          <w:szCs w:val="28"/>
          <w:lang w:val="en-US" w:eastAsia="zh-CN"/>
        </w:rPr>
        <w:t>50%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包括工学交替、社会实践、毕业实习、课外第二课堂等等。学校一直重视实验实训设施建设，年均投入800余万元</w:t>
      </w:r>
      <w:r>
        <w:rPr>
          <w:rFonts w:hint="eastAsia" w:ascii="仿宋" w:hAnsi="仿宋" w:eastAsia="仿宋" w:cs="仿宋"/>
          <w:b w:val="0"/>
          <w:bCs w:val="0"/>
          <w:sz w:val="28"/>
          <w:szCs w:val="28"/>
          <w:lang w:eastAsia="zh-CN"/>
        </w:rPr>
        <w:t>，</w:t>
      </w:r>
      <w:r>
        <w:rPr>
          <w:rFonts w:hint="eastAsia" w:ascii="仿宋" w:hAnsi="仿宋" w:eastAsia="仿宋" w:cs="仿宋"/>
          <w:b w:val="0"/>
          <w:bCs w:val="0"/>
          <w:color w:val="auto"/>
          <w:kern w:val="0"/>
          <w:sz w:val="28"/>
          <w:szCs w:val="28"/>
          <w:lang w:eastAsia="zh-CN"/>
        </w:rPr>
        <w:t>共有</w:t>
      </w:r>
      <w:r>
        <w:rPr>
          <w:rFonts w:hint="eastAsia" w:ascii="仿宋" w:hAnsi="仿宋" w:eastAsia="仿宋" w:cs="仿宋"/>
          <w:b w:val="0"/>
          <w:bCs w:val="0"/>
          <w:color w:val="auto"/>
          <w:kern w:val="0"/>
          <w:sz w:val="28"/>
          <w:szCs w:val="28"/>
        </w:rPr>
        <w:t>167个配置较为齐全的校内实训室</w:t>
      </w:r>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sz w:val="28"/>
          <w:szCs w:val="28"/>
        </w:rPr>
        <w:t>建成配置较为齐全的旅游、物流、财会、幼教、汽修、网络等6大实训基地，</w:t>
      </w:r>
      <w:r>
        <w:rPr>
          <w:rFonts w:hint="eastAsia" w:ascii="仿宋" w:hAnsi="仿宋" w:eastAsia="仿宋" w:cs="仿宋"/>
          <w:b w:val="0"/>
          <w:bCs w:val="0"/>
          <w:color w:val="auto"/>
          <w:kern w:val="0"/>
          <w:sz w:val="28"/>
          <w:szCs w:val="28"/>
          <w:lang w:val="en-US" w:eastAsia="zh-CN"/>
        </w:rPr>
        <w:t>2018年后</w:t>
      </w:r>
      <w:r>
        <w:rPr>
          <w:rFonts w:hint="eastAsia" w:ascii="仿宋" w:hAnsi="仿宋" w:eastAsia="仿宋" w:cs="仿宋"/>
          <w:b w:val="0"/>
          <w:bCs w:val="0"/>
          <w:sz w:val="28"/>
          <w:szCs w:val="28"/>
          <w:lang w:eastAsia="zh-CN"/>
        </w:rPr>
        <w:t>新增</w:t>
      </w:r>
      <w:r>
        <w:rPr>
          <w:rFonts w:hint="eastAsia" w:ascii="仿宋" w:hAnsi="仿宋" w:eastAsia="仿宋" w:cs="仿宋"/>
          <w:b w:val="0"/>
          <w:bCs w:val="0"/>
          <w:sz w:val="28"/>
          <w:szCs w:val="28"/>
        </w:rPr>
        <w:t>国家级生产性实训基地 1 个、国家级技能大师工作室1个</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省级虚拟仿真实训中心</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个、省级技能大师工作室</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个，</w:t>
      </w:r>
      <w:r>
        <w:rPr>
          <w:rFonts w:hint="eastAsia" w:ascii="仿宋" w:hAnsi="仿宋" w:eastAsia="仿宋" w:cs="仿宋"/>
          <w:b w:val="0"/>
          <w:bCs w:val="0"/>
          <w:sz w:val="28"/>
          <w:szCs w:val="28"/>
          <w:lang w:eastAsia="zh-CN"/>
        </w:rPr>
        <w:t>成为了</w:t>
      </w:r>
      <w:r>
        <w:rPr>
          <w:rFonts w:hint="eastAsia" w:ascii="仿宋" w:hAnsi="仿宋" w:eastAsia="仿宋" w:cs="仿宋"/>
          <w:b w:val="0"/>
          <w:bCs w:val="0"/>
          <w:sz w:val="28"/>
          <w:szCs w:val="28"/>
        </w:rPr>
        <w:t>国家级职业教育虚拟仿真(VR)实训基地中旅游管理和导游专业课程体系的建设院校</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为开展理实一体化、综合实训提供有力保障。</w:t>
      </w:r>
    </w:p>
    <w:p>
      <w:pPr>
        <w:keepNext w:val="0"/>
        <w:keepLines w:val="0"/>
        <w:pageBreakBefore w:val="0"/>
        <w:kinsoku/>
        <w:overflowPunct/>
        <w:topLinePunct w:val="0"/>
        <w:autoSpaceDE/>
        <w:autoSpaceDN/>
        <w:bidi w:val="0"/>
        <w:adjustRightInd/>
        <w:snapToGrid/>
        <w:spacing w:line="240" w:lineRule="auto"/>
        <w:ind w:firstLine="560" w:firstLineChars="2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推行“3+3”校企合作模式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shd w:val="clear" w:color="auto" w:fill="FFFFFF"/>
        </w:rPr>
        <w:t>即学校为企业做3件事：培养符合企业需求的人才；推进企业技术升级或帮助研究制定</w:t>
      </w:r>
      <w:r>
        <w:rPr>
          <w:rFonts w:hint="eastAsia" w:ascii="仿宋" w:hAnsi="仿宋" w:eastAsia="仿宋" w:cs="仿宋"/>
          <w:b w:val="0"/>
          <w:bCs w:val="0"/>
          <w:sz w:val="28"/>
          <w:szCs w:val="28"/>
        </w:rPr>
        <w:t>产业规划、营销模式等；</w:t>
      </w:r>
      <w:r>
        <w:rPr>
          <w:rFonts w:hint="eastAsia" w:ascii="仿宋" w:hAnsi="仿宋" w:eastAsia="仿宋" w:cs="仿宋"/>
          <w:b w:val="0"/>
          <w:bCs w:val="0"/>
          <w:sz w:val="28"/>
          <w:szCs w:val="28"/>
          <w:shd w:val="clear" w:color="auto" w:fill="FFFFFF"/>
        </w:rPr>
        <w:t>为企业研发新产品。企业为学校做3件事：与学校共同制订人培方案、编写活页教材；共建技术技能创新服务平台；企业技术骨干与学校师生共同完成市场订单。</w:t>
      </w:r>
      <w:r>
        <w:rPr>
          <w:rFonts w:hint="eastAsia" w:ascii="仿宋" w:hAnsi="仿宋" w:eastAsia="仿宋" w:cs="仿宋"/>
          <w:b w:val="0"/>
          <w:bCs w:val="0"/>
          <w:sz w:val="28"/>
          <w:szCs w:val="28"/>
          <w:lang w:val="en-US" w:eastAsia="zh-CN"/>
        </w:rPr>
        <w:t>2018年后与企业共建了</w:t>
      </w:r>
      <w:r>
        <w:rPr>
          <w:rFonts w:hint="eastAsia" w:ascii="仿宋" w:hAnsi="仿宋" w:eastAsia="仿宋" w:cs="仿宋"/>
          <w:b w:val="0"/>
          <w:bCs w:val="0"/>
          <w:sz w:val="28"/>
          <w:szCs w:val="28"/>
        </w:rPr>
        <w:t>江西旅游智库、江西省冷链物流研究院、江西农村电商高端人才研究站、江西农村电商创业学院、江西省创新创业示范基地等。</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学校大力推进校外校外实践教学基地建设，校企共建校外实训基地 177个，</w:t>
      </w:r>
      <w:r>
        <w:rPr>
          <w:rFonts w:hint="eastAsia" w:ascii="仿宋" w:hAnsi="仿宋" w:eastAsia="仿宋" w:cs="仿宋"/>
          <w:b w:val="0"/>
          <w:bCs w:val="0"/>
          <w:sz w:val="28"/>
          <w:szCs w:val="28"/>
          <w:lang w:eastAsia="zh-CN"/>
        </w:rPr>
        <w:t>同时</w:t>
      </w:r>
      <w:r>
        <w:rPr>
          <w:rFonts w:hint="eastAsia" w:ascii="仿宋" w:hAnsi="仿宋" w:eastAsia="仿宋" w:cs="仿宋"/>
          <w:b w:val="0"/>
          <w:bCs w:val="0"/>
          <w:sz w:val="28"/>
          <w:szCs w:val="28"/>
        </w:rPr>
        <w:t>获批国家旅游局全国50个校企合作示范基地、智能制造领域中外人文交流人才培养基地、江西省幸福产业产教融合育人基地、第45届、46届世界技能大赛全国选拔赛江西省集训基地，江西教育旅游示范区（AAA级旅游景区）应用技术协同创新中心</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为学生实习实习实训、技能鉴定、社会服务提供重要支撑。</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表</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 xml:space="preserve">  学校校企合作与实践教学情况</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序号</w:t>
            </w:r>
          </w:p>
        </w:tc>
        <w:tc>
          <w:tcPr>
            <w:tcW w:w="52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评估指标</w:t>
            </w:r>
          </w:p>
        </w:tc>
        <w:tc>
          <w:tcPr>
            <w:tcW w:w="217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201</w:t>
            </w:r>
            <w:r>
              <w:rPr>
                <w:rFonts w:hint="eastAsia" w:ascii="仿宋" w:hAnsi="仿宋" w:eastAsia="仿宋" w:cs="仿宋"/>
                <w:b w:val="0"/>
                <w:bCs w:val="0"/>
                <w:sz w:val="21"/>
                <w:szCs w:val="21"/>
                <w:lang w:val="en-US" w:eastAsia="zh-CN"/>
              </w:rPr>
              <w:t>9</w:t>
            </w:r>
            <w:r>
              <w:rPr>
                <w:rFonts w:hint="eastAsia" w:ascii="仿宋" w:hAnsi="仿宋" w:eastAsia="仿宋" w:cs="仿宋"/>
                <w:b w:val="0"/>
                <w:bCs w:val="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1</w:t>
            </w:r>
          </w:p>
        </w:tc>
        <w:tc>
          <w:tcPr>
            <w:tcW w:w="52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校外实习实训基地数（个）</w:t>
            </w:r>
          </w:p>
        </w:tc>
        <w:tc>
          <w:tcPr>
            <w:tcW w:w="217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2</w:t>
            </w:r>
          </w:p>
        </w:tc>
        <w:tc>
          <w:tcPr>
            <w:tcW w:w="52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校内实践基地数（个）</w:t>
            </w:r>
          </w:p>
        </w:tc>
        <w:tc>
          <w:tcPr>
            <w:tcW w:w="217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3</w:t>
            </w:r>
          </w:p>
        </w:tc>
        <w:tc>
          <w:tcPr>
            <w:tcW w:w="52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生均校内实践教学工位数（个/生）</w:t>
            </w:r>
          </w:p>
        </w:tc>
        <w:tc>
          <w:tcPr>
            <w:tcW w:w="217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val="en-US" w:eastAsia="zh-CN"/>
              </w:rPr>
              <w:t>4</w:t>
            </w:r>
          </w:p>
        </w:tc>
        <w:tc>
          <w:tcPr>
            <w:tcW w:w="52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企业订单学生所占比例</w:t>
            </w:r>
          </w:p>
        </w:tc>
        <w:tc>
          <w:tcPr>
            <w:tcW w:w="217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outlineLvl w:val="9"/>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24</w:t>
            </w:r>
          </w:p>
        </w:tc>
      </w:tr>
    </w:tbl>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textAlignment w:val="auto"/>
        <w:outlineLvl w:val="1"/>
        <w:rPr>
          <w:rFonts w:hint="eastAsia" w:ascii="仿宋" w:hAnsi="仿宋" w:eastAsia="仿宋" w:cs="仿宋"/>
          <w:b w:val="0"/>
          <w:bCs w:val="0"/>
          <w:sz w:val="28"/>
          <w:szCs w:val="28"/>
        </w:rPr>
      </w:pPr>
      <w:bookmarkStart w:id="9" w:name="_Toc18144"/>
      <w:r>
        <w:rPr>
          <w:rFonts w:hint="eastAsia" w:ascii="仿宋" w:hAnsi="仿宋" w:eastAsia="仿宋" w:cs="仿宋"/>
          <w:b w:val="0"/>
          <w:bCs w:val="0"/>
          <w:sz w:val="28"/>
          <w:szCs w:val="28"/>
        </w:rPr>
        <w:t>（四）学生职业发展</w:t>
      </w:r>
      <w:bookmarkEnd w:id="9"/>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 招生计划完成质量</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学校面向全国</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个省、市、自治区招生，2017年我校计划统招招生数为</w:t>
      </w:r>
      <w:r>
        <w:rPr>
          <w:rFonts w:hint="eastAsia" w:ascii="仿宋" w:hAnsi="仿宋" w:eastAsia="仿宋" w:cs="仿宋"/>
          <w:b w:val="0"/>
          <w:bCs w:val="0"/>
          <w:sz w:val="28"/>
          <w:szCs w:val="28"/>
          <w:lang w:val="en-US" w:eastAsia="zh-CN"/>
        </w:rPr>
        <w:t>3600</w:t>
      </w:r>
      <w:r>
        <w:rPr>
          <w:rFonts w:hint="eastAsia" w:ascii="仿宋" w:hAnsi="仿宋" w:eastAsia="仿宋" w:cs="仿宋"/>
          <w:b w:val="0"/>
          <w:bCs w:val="0"/>
          <w:sz w:val="28"/>
          <w:szCs w:val="28"/>
        </w:rPr>
        <w:t>人，实际招生</w:t>
      </w:r>
      <w:r>
        <w:rPr>
          <w:rFonts w:hint="eastAsia" w:ascii="仿宋" w:hAnsi="仿宋" w:eastAsia="仿宋" w:cs="仿宋"/>
          <w:b w:val="0"/>
          <w:bCs w:val="0"/>
          <w:sz w:val="28"/>
          <w:szCs w:val="28"/>
          <w:lang w:val="en-US" w:eastAsia="zh-CN"/>
        </w:rPr>
        <w:t>4431</w:t>
      </w:r>
      <w:r>
        <w:rPr>
          <w:rFonts w:hint="eastAsia" w:ascii="仿宋" w:hAnsi="仿宋" w:eastAsia="仿宋" w:cs="仿宋"/>
          <w:b w:val="0"/>
          <w:bCs w:val="0"/>
          <w:sz w:val="28"/>
          <w:szCs w:val="28"/>
        </w:rPr>
        <w:t>人，其中报考数为</w:t>
      </w:r>
      <w:r>
        <w:rPr>
          <w:rFonts w:hint="eastAsia" w:ascii="仿宋" w:hAnsi="仿宋" w:eastAsia="仿宋" w:cs="仿宋"/>
          <w:b w:val="0"/>
          <w:bCs w:val="0"/>
          <w:sz w:val="28"/>
          <w:szCs w:val="28"/>
          <w:lang w:val="en-US" w:eastAsia="zh-CN"/>
        </w:rPr>
        <w:t>24372</w:t>
      </w:r>
      <w:r>
        <w:rPr>
          <w:rFonts w:hint="eastAsia" w:ascii="仿宋" w:hAnsi="仿宋" w:eastAsia="仿宋" w:cs="仿宋"/>
          <w:b w:val="0"/>
          <w:bCs w:val="0"/>
          <w:sz w:val="28"/>
          <w:szCs w:val="28"/>
        </w:rPr>
        <w:t>人</w:t>
      </w:r>
      <w:r>
        <w:rPr>
          <w:rFonts w:hint="eastAsia" w:ascii="仿宋" w:hAnsi="仿宋" w:eastAsia="仿宋" w:cs="仿宋"/>
          <w:b w:val="0"/>
          <w:bCs w:val="0"/>
          <w:sz w:val="28"/>
          <w:szCs w:val="28"/>
          <w:lang w:eastAsia="zh-CN"/>
        </w:rPr>
        <w:t>，学校录取最低分数线：文科</w:t>
      </w:r>
      <w:r>
        <w:rPr>
          <w:rFonts w:hint="eastAsia" w:ascii="仿宋" w:hAnsi="仿宋" w:eastAsia="仿宋" w:cs="仿宋"/>
          <w:b w:val="0"/>
          <w:bCs w:val="0"/>
          <w:sz w:val="28"/>
          <w:szCs w:val="28"/>
          <w:lang w:val="en-US" w:eastAsia="zh-CN"/>
        </w:rPr>
        <w:t>294分，理科300分，</w:t>
      </w:r>
      <w:r>
        <w:rPr>
          <w:rFonts w:hint="eastAsia" w:ascii="仿宋" w:hAnsi="仿宋" w:eastAsia="仿宋" w:cs="仿宋"/>
          <w:b w:val="0"/>
          <w:bCs w:val="0"/>
          <w:sz w:val="28"/>
          <w:szCs w:val="28"/>
        </w:rPr>
        <w:t>省控线180；；2018年我校计划统招招生数为</w:t>
      </w:r>
      <w:r>
        <w:rPr>
          <w:rFonts w:hint="eastAsia" w:ascii="仿宋" w:hAnsi="仿宋" w:eastAsia="仿宋" w:cs="仿宋"/>
          <w:b w:val="0"/>
          <w:bCs w:val="0"/>
          <w:sz w:val="28"/>
          <w:szCs w:val="28"/>
          <w:lang w:val="en-US" w:eastAsia="zh-CN"/>
        </w:rPr>
        <w:t>3600</w:t>
      </w:r>
      <w:r>
        <w:rPr>
          <w:rFonts w:hint="eastAsia" w:ascii="仿宋" w:hAnsi="仿宋" w:eastAsia="仿宋" w:cs="仿宋"/>
          <w:b w:val="0"/>
          <w:bCs w:val="0"/>
          <w:sz w:val="28"/>
          <w:szCs w:val="28"/>
        </w:rPr>
        <w:t>人，实际招生</w:t>
      </w:r>
      <w:r>
        <w:rPr>
          <w:rFonts w:hint="eastAsia" w:ascii="仿宋" w:hAnsi="仿宋" w:eastAsia="仿宋" w:cs="仿宋"/>
          <w:b w:val="0"/>
          <w:bCs w:val="0"/>
          <w:sz w:val="28"/>
          <w:szCs w:val="28"/>
          <w:lang w:val="en-US" w:eastAsia="zh-CN"/>
        </w:rPr>
        <w:t>4553</w:t>
      </w:r>
      <w:r>
        <w:rPr>
          <w:rFonts w:hint="eastAsia" w:ascii="仿宋" w:hAnsi="仿宋" w:eastAsia="仿宋" w:cs="仿宋"/>
          <w:b w:val="0"/>
          <w:bCs w:val="0"/>
          <w:sz w:val="28"/>
          <w:szCs w:val="28"/>
        </w:rPr>
        <w:t>人，其中报考数为</w:t>
      </w:r>
      <w:r>
        <w:rPr>
          <w:rFonts w:hint="eastAsia" w:ascii="仿宋" w:hAnsi="仿宋" w:eastAsia="仿宋" w:cs="仿宋"/>
          <w:b w:val="0"/>
          <w:bCs w:val="0"/>
          <w:sz w:val="28"/>
          <w:szCs w:val="28"/>
          <w:lang w:val="en-US" w:eastAsia="zh-CN"/>
        </w:rPr>
        <w:t>23805</w:t>
      </w:r>
      <w:r>
        <w:rPr>
          <w:rFonts w:hint="eastAsia" w:ascii="仿宋" w:hAnsi="仿宋" w:eastAsia="仿宋" w:cs="仿宋"/>
          <w:b w:val="0"/>
          <w:bCs w:val="0"/>
          <w:sz w:val="28"/>
          <w:szCs w:val="28"/>
        </w:rPr>
        <w:t>人</w:t>
      </w:r>
      <w:r>
        <w:rPr>
          <w:rFonts w:hint="eastAsia" w:ascii="仿宋" w:hAnsi="仿宋" w:eastAsia="仿宋" w:cs="仿宋"/>
          <w:b w:val="0"/>
          <w:bCs w:val="0"/>
          <w:sz w:val="28"/>
          <w:szCs w:val="28"/>
          <w:lang w:eastAsia="zh-CN"/>
        </w:rPr>
        <w:t>，学校录取最低分数线：文科</w:t>
      </w:r>
      <w:r>
        <w:rPr>
          <w:rFonts w:hint="eastAsia" w:ascii="仿宋" w:hAnsi="仿宋" w:eastAsia="仿宋" w:cs="仿宋"/>
          <w:b w:val="0"/>
          <w:bCs w:val="0"/>
          <w:sz w:val="28"/>
          <w:szCs w:val="28"/>
          <w:lang w:val="en-US" w:eastAsia="zh-CN"/>
        </w:rPr>
        <w:t>315.92分，理科292.86分，</w:t>
      </w:r>
      <w:r>
        <w:rPr>
          <w:rFonts w:hint="eastAsia" w:ascii="仿宋" w:hAnsi="仿宋" w:eastAsia="仿宋" w:cs="仿宋"/>
          <w:b w:val="0"/>
          <w:bCs w:val="0"/>
          <w:sz w:val="28"/>
          <w:szCs w:val="28"/>
        </w:rPr>
        <w:t>省控线160。2019年我校计划统招招生数为5535人，实际招生6044人，学校录取最低分数线：文科322.91分，理科273.82分，省控线160。学校的声誉得到社会广泛的认可。</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实施“1+X”证书制度</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“1+X”证书制度试点工作启动以来，学校高度重视，积极申报，2019年7月物流管理专业入选教育部首批1+X证书制度试点; 2019年10月电子商务数据分析、网店运营推广、工业机器人应用编程、母婴护理、传感网应用开发、云计算平台运维与开发等6项入选第二批1+X证书制度试点; 2020年4月跨境电商B2B数据运营、城市轨道交通站务、财务共享服务、财务数字化应用、业财一体信息化应用、智能估值数据采集与应用、空中乘务、航空器灭火救援与救护、民航货物运输、民航旅客地面服务、数字化管理会计、数控车铣加工、幼儿照护、无人机驾驶、智能财税职业、智能计算平台应用开发、大数据平台运维、研学旅行策划与管理(EEPM)、运动营养咨询与指导等19项成功获批为教育部第三批1+X证书制度试点。同时还被授权国家教育部“1+X”物流管理职业技能等级证书考核站点、国家教育部“1+X”传感网应用开发职业技能等级证书考核站点、1+X网店运营推广职业技能等级证书师资培训基地</w:t>
      </w:r>
      <w:r>
        <w:rPr>
          <w:rFonts w:hint="eastAsia" w:ascii="仿宋" w:hAnsi="仿宋" w:eastAsia="仿宋" w:cs="仿宋"/>
          <w:b w:val="0"/>
          <w:bCs w:val="0"/>
          <w:sz w:val="28"/>
          <w:szCs w:val="28"/>
          <w:lang w:eastAsia="zh-CN"/>
        </w:rPr>
        <w:t>，截止日前，共计</w:t>
      </w:r>
      <w:r>
        <w:rPr>
          <w:rFonts w:hint="eastAsia" w:ascii="仿宋" w:hAnsi="仿宋" w:eastAsia="仿宋" w:cs="仿宋"/>
          <w:b w:val="0"/>
          <w:bCs w:val="0"/>
          <w:sz w:val="28"/>
          <w:szCs w:val="28"/>
          <w:lang w:val="en-US" w:eastAsia="zh-CN"/>
        </w:rPr>
        <w:t>79人获得</w:t>
      </w:r>
      <w:r>
        <w:rPr>
          <w:rFonts w:hint="eastAsia" w:ascii="仿宋" w:hAnsi="仿宋" w:eastAsia="仿宋" w:cs="仿宋"/>
          <w:b w:val="0"/>
          <w:bCs w:val="0"/>
          <w:sz w:val="28"/>
          <w:szCs w:val="28"/>
        </w:rPr>
        <w:t>“1+X”证书。</w:t>
      </w:r>
    </w:p>
    <w:p>
      <w:pPr>
        <w:pStyle w:val="53"/>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 开展行业技能鉴定工作</w:t>
      </w:r>
      <w:r>
        <w:rPr>
          <w:rFonts w:hint="eastAsia" w:ascii="仿宋" w:hAnsi="仿宋" w:cs="仿宋"/>
          <w:b w:val="0"/>
          <w:bCs w:val="0"/>
          <w:sz w:val="28"/>
          <w:szCs w:val="28"/>
          <w:lang w:eastAsia="zh-CN"/>
        </w:rPr>
        <w:t>，助推学生获得</w:t>
      </w:r>
      <w:r>
        <w:rPr>
          <w:rFonts w:hint="eastAsia" w:ascii="仿宋" w:hAnsi="仿宋" w:eastAsia="仿宋" w:cs="仿宋"/>
          <w:b w:val="0"/>
          <w:bCs w:val="0"/>
          <w:sz w:val="28"/>
          <w:szCs w:val="28"/>
        </w:rPr>
        <w:t>职业资格证书</w:t>
      </w:r>
    </w:p>
    <w:p>
      <w:pPr>
        <w:pStyle w:val="53"/>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依托江西旅游商贸职业学院国家职业技能鉴定所（站）,结合学校专业需求，按照国家劳动部门相应工种、等级开展技能鉴定。自2018年1月以来，江西旅游商贸职业学院国家职业技能鉴定所（站）鉴定工种从2个增加到6个，考评员从14人增加到29人，累计完成包括保育员、育婴员、汽车维修工、钳工、茶艺师、美容师等职业技能培训、鉴定3626人*日。</w:t>
      </w:r>
      <w:r>
        <w:rPr>
          <w:rFonts w:hint="eastAsia" w:ascii="仿宋" w:hAnsi="仿宋" w:eastAsia="仿宋" w:cs="仿宋"/>
          <w:b w:val="0"/>
          <w:bCs w:val="0"/>
          <w:sz w:val="28"/>
          <w:szCs w:val="28"/>
        </w:rPr>
        <w:t>学校积极推行双证书制度，鼓励学生取得与专业相关的职业资格证书</w:t>
      </w:r>
      <w:r>
        <w:rPr>
          <w:rFonts w:hint="eastAsia" w:ascii="仿宋" w:hAnsi="仿宋" w:cs="仿宋"/>
          <w:b w:val="0"/>
          <w:bCs w:val="0"/>
          <w:sz w:val="28"/>
          <w:szCs w:val="28"/>
          <w:lang w:eastAsia="zh-CN"/>
        </w:rPr>
        <w:t>，</w:t>
      </w:r>
      <w:r>
        <w:rPr>
          <w:rFonts w:hint="eastAsia" w:ascii="仿宋" w:hAnsi="仿宋" w:eastAsia="仿宋" w:cs="仿宋"/>
          <w:b w:val="0"/>
          <w:bCs w:val="0"/>
          <w:sz w:val="28"/>
          <w:szCs w:val="28"/>
          <w:lang w:eastAsia="zh-CN"/>
        </w:rPr>
        <w:t>毕业生</w:t>
      </w:r>
      <w:r>
        <w:rPr>
          <w:rFonts w:hint="eastAsia" w:ascii="仿宋" w:hAnsi="仿宋" w:eastAsia="仿宋" w:cs="仿宋"/>
          <w:b w:val="0"/>
          <w:bCs w:val="0"/>
          <w:sz w:val="28"/>
          <w:szCs w:val="28"/>
          <w:lang w:val="en-US" w:eastAsia="zh-CN"/>
        </w:rPr>
        <w:t>4646人</w:t>
      </w:r>
      <w:r>
        <w:rPr>
          <w:rFonts w:hint="eastAsia" w:ascii="仿宋" w:hAnsi="仿宋" w:eastAsia="仿宋" w:cs="仿宋"/>
          <w:b w:val="0"/>
          <w:bCs w:val="0"/>
          <w:sz w:val="28"/>
          <w:szCs w:val="28"/>
        </w:rPr>
        <w:t>取得了国家颁发的与专业相关的职业资格证书</w:t>
      </w:r>
      <w:r>
        <w:rPr>
          <w:rFonts w:hint="eastAsia" w:ascii="仿宋" w:hAnsi="仿宋" w:eastAsia="仿宋" w:cs="仿宋"/>
          <w:b w:val="0"/>
          <w:bCs w:val="0"/>
          <w:sz w:val="28"/>
          <w:szCs w:val="28"/>
          <w:lang w:eastAsia="zh-CN"/>
        </w:rPr>
        <w:t>，其中社会认可度高的其他证书获得人数</w:t>
      </w:r>
      <w:r>
        <w:rPr>
          <w:rFonts w:hint="eastAsia" w:ascii="仿宋" w:hAnsi="仿宋" w:eastAsia="仿宋" w:cs="仿宋"/>
          <w:b w:val="0"/>
          <w:bCs w:val="0"/>
          <w:sz w:val="28"/>
          <w:szCs w:val="28"/>
          <w:lang w:val="en-US" w:eastAsia="zh-CN"/>
        </w:rPr>
        <w:t>2208人</w:t>
      </w:r>
      <w:r>
        <w:rPr>
          <w:rFonts w:hint="eastAsia" w:ascii="仿宋" w:hAnsi="仿宋" w:eastAsia="仿宋" w:cs="仿宋"/>
          <w:b w:val="0"/>
          <w:bCs w:val="0"/>
          <w:sz w:val="28"/>
          <w:szCs w:val="28"/>
        </w:rPr>
        <w:t>。</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 毕业生就业</w:t>
      </w:r>
      <w:r>
        <w:rPr>
          <w:rFonts w:hint="eastAsia" w:ascii="仿宋" w:hAnsi="仿宋" w:eastAsia="仿宋" w:cs="仿宋"/>
          <w:b w:val="0"/>
          <w:bCs w:val="0"/>
          <w:sz w:val="28"/>
          <w:szCs w:val="28"/>
          <w:lang w:eastAsia="zh-CN"/>
        </w:rPr>
        <w:t>与创业</w:t>
      </w:r>
      <w:r>
        <w:rPr>
          <w:rFonts w:hint="eastAsia" w:ascii="仿宋" w:hAnsi="仿宋" w:eastAsia="仿宋" w:cs="仿宋"/>
          <w:b w:val="0"/>
          <w:bCs w:val="0"/>
          <w:sz w:val="28"/>
          <w:szCs w:val="28"/>
        </w:rPr>
        <w:t>情况</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高度重视就业创业工作，将全面落实就业创业工作作为“一把手”工程，由党委书记、校长共同挂帅任组长，分管校长为副组长，各二级学院院长或书记以及相关职能处室负责同志为成员的就业创业工作领导小组。近三年，我校毕业生人数分别为2017年5574人、2018年4243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201</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年</w:t>
      </w:r>
      <w:r>
        <w:rPr>
          <w:rFonts w:hint="eastAsia" w:ascii="仿宋" w:hAnsi="仿宋" w:eastAsia="仿宋" w:cs="仿宋"/>
          <w:b w:val="0"/>
          <w:bCs w:val="0"/>
          <w:sz w:val="28"/>
          <w:szCs w:val="28"/>
          <w:lang w:val="en-US" w:eastAsia="zh-CN"/>
        </w:rPr>
        <w:t>4646</w:t>
      </w:r>
      <w:r>
        <w:rPr>
          <w:rFonts w:hint="eastAsia" w:ascii="仿宋" w:hAnsi="仿宋" w:eastAsia="仿宋" w:cs="仿宋"/>
          <w:b w:val="0"/>
          <w:bCs w:val="0"/>
          <w:sz w:val="28"/>
          <w:szCs w:val="28"/>
        </w:rPr>
        <w:t>人。就业率为2017年</w:t>
      </w:r>
      <w:r>
        <w:rPr>
          <w:rFonts w:hint="eastAsia" w:ascii="仿宋" w:hAnsi="仿宋" w:eastAsia="仿宋" w:cs="仿宋"/>
          <w:b w:val="0"/>
          <w:bCs w:val="0"/>
          <w:sz w:val="28"/>
          <w:szCs w:val="28"/>
          <w:lang w:val="en-US" w:eastAsia="zh-CN"/>
        </w:rPr>
        <w:t>90.38</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2018年</w:t>
      </w:r>
      <w:r>
        <w:rPr>
          <w:rFonts w:hint="eastAsia" w:ascii="仿宋" w:hAnsi="仿宋" w:eastAsia="仿宋" w:cs="仿宋"/>
          <w:b w:val="0"/>
          <w:bCs w:val="0"/>
          <w:sz w:val="28"/>
          <w:szCs w:val="28"/>
          <w:lang w:val="en-US" w:eastAsia="zh-CN"/>
        </w:rPr>
        <w:t>86.75</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201</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年</w:t>
      </w:r>
      <w:r>
        <w:rPr>
          <w:rFonts w:hint="eastAsia" w:ascii="仿宋" w:hAnsi="仿宋" w:eastAsia="仿宋" w:cs="仿宋"/>
          <w:b w:val="0"/>
          <w:bCs w:val="0"/>
          <w:sz w:val="28"/>
          <w:szCs w:val="28"/>
          <w:lang w:val="en-US" w:eastAsia="zh-CN"/>
        </w:rPr>
        <w:t>80.82</w:t>
      </w:r>
      <w:r>
        <w:rPr>
          <w:rFonts w:hint="eastAsia" w:ascii="仿宋" w:hAnsi="仿宋" w:eastAsia="仿宋" w:cs="仿宋"/>
          <w:b w:val="0"/>
          <w:bCs w:val="0"/>
          <w:sz w:val="28"/>
          <w:szCs w:val="28"/>
        </w:rPr>
        <w:t>%，毕业生对学校的满意度和用人单位对毕业生的满意度均超过90%，由于领导有力、工作扎实，学校就业创业工作取得可喜成绩。学校就业工作连续12年获评为全省就业工作先进单位。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学校深入贯彻落实国家创新驱动发展战略，将专业、产业、创业融合互通，实施创学全息人才培养模式，将创新创业教育贯穿人才培养全过程，培养孵化创新创业人才，形成了多元协同，大一培育意识、大二提升能力、大三实战演练的“三级进阶”和课内教学、课外体验、项目运营的“三维联动”育人格局。坚持“创业导向、企业导入、专业导引”理念，构建“创学文化、创学社团、创学教师、创学课程、创学平台和创学管理”六要素组成的“创学六环”。</w:t>
      </w:r>
      <w:r>
        <w:rPr>
          <w:rFonts w:hint="eastAsia" w:ascii="仿宋" w:hAnsi="仿宋" w:eastAsia="仿宋" w:cs="仿宋"/>
          <w:b w:val="0"/>
          <w:bCs w:val="0"/>
          <w:kern w:val="2"/>
          <w:sz w:val="28"/>
          <w:szCs w:val="28"/>
          <w:lang w:val="en-US" w:eastAsia="zh-CN" w:bidi="ar-SA"/>
        </w:rPr>
        <w:t>2019年</w:t>
      </w:r>
      <w:r>
        <w:rPr>
          <w:rFonts w:hint="eastAsia" w:ascii="仿宋" w:hAnsi="仿宋" w:eastAsia="仿宋" w:cs="仿宋"/>
          <w:b w:val="0"/>
          <w:bCs w:val="0"/>
          <w:kern w:val="2"/>
          <w:sz w:val="28"/>
          <w:szCs w:val="28"/>
          <w:lang w:val="zh-CN" w:eastAsia="zh-CN" w:bidi="ar-SA"/>
        </w:rPr>
        <w:t>“孵化型旅商人才“创学全息”培养模式研究与实践”获第十六批高校省级教学成果奖一等奖；学校创新创业成果获得时任省长刘奇和鹿心社高度称赞，在《中国教育报》、中国教育电视台等多家主流媒体报道，社会效应和示范引领作用明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 xml:space="preserve">  </w:t>
      </w:r>
      <w:r>
        <w:rPr>
          <w:rFonts w:hint="eastAsia" w:ascii="仿宋" w:hAnsi="仿宋" w:eastAsia="仿宋" w:cs="仿宋"/>
          <w:b w:val="0"/>
          <w:bCs w:val="0"/>
          <w:kern w:val="2"/>
          <w:sz w:val="28"/>
          <w:szCs w:val="28"/>
          <w:lang w:val="en-US" w:eastAsia="zh-CN" w:bidi="ar-SA"/>
        </w:rPr>
        <w:t>2018-2019</w:t>
      </w:r>
      <w:r>
        <w:rPr>
          <w:rFonts w:hint="eastAsia" w:ascii="仿宋" w:hAnsi="仿宋" w:eastAsia="仿宋" w:cs="仿宋"/>
          <w:b w:val="0"/>
          <w:bCs w:val="0"/>
          <w:kern w:val="2"/>
          <w:sz w:val="28"/>
          <w:szCs w:val="28"/>
          <w:lang w:val="zh-CN" w:eastAsia="zh-CN" w:bidi="ar-SA"/>
        </w:rPr>
        <w:t>年，中国"互联网+"大学生创新创业大赛国家级铜奖</w:t>
      </w:r>
      <w:r>
        <w:rPr>
          <w:rFonts w:hint="eastAsia" w:ascii="仿宋" w:hAnsi="仿宋" w:eastAsia="仿宋" w:cs="仿宋"/>
          <w:b w:val="0"/>
          <w:bCs w:val="0"/>
          <w:kern w:val="2"/>
          <w:sz w:val="28"/>
          <w:szCs w:val="28"/>
          <w:lang w:val="en-US" w:eastAsia="zh-CN" w:bidi="ar-SA"/>
        </w:rPr>
        <w:t>5</w:t>
      </w:r>
      <w:r>
        <w:rPr>
          <w:rFonts w:hint="eastAsia" w:ascii="仿宋" w:hAnsi="仿宋" w:eastAsia="仿宋" w:cs="仿宋"/>
          <w:b w:val="0"/>
          <w:bCs w:val="0"/>
          <w:kern w:val="2"/>
          <w:sz w:val="28"/>
          <w:szCs w:val="28"/>
          <w:lang w:val="zh-CN" w:eastAsia="zh-CN" w:bidi="ar-SA"/>
        </w:rPr>
        <w:t>项，省级金奖</w:t>
      </w:r>
      <w:r>
        <w:rPr>
          <w:rFonts w:hint="eastAsia" w:ascii="仿宋" w:hAnsi="仿宋" w:eastAsia="仿宋" w:cs="仿宋"/>
          <w:b w:val="0"/>
          <w:bCs w:val="0"/>
          <w:kern w:val="2"/>
          <w:sz w:val="28"/>
          <w:szCs w:val="28"/>
          <w:lang w:val="en-US" w:eastAsia="zh-CN" w:bidi="ar-SA"/>
        </w:rPr>
        <w:t>2</w:t>
      </w:r>
      <w:r>
        <w:rPr>
          <w:rFonts w:hint="eastAsia" w:ascii="仿宋" w:hAnsi="仿宋" w:eastAsia="仿宋" w:cs="仿宋"/>
          <w:b w:val="0"/>
          <w:bCs w:val="0"/>
          <w:kern w:val="2"/>
          <w:sz w:val="28"/>
          <w:szCs w:val="28"/>
          <w:lang w:val="zh-CN" w:eastAsia="zh-CN" w:bidi="ar-SA"/>
        </w:rPr>
        <w:t>项，银奖</w:t>
      </w:r>
      <w:r>
        <w:rPr>
          <w:rFonts w:hint="eastAsia" w:ascii="仿宋" w:hAnsi="仿宋" w:eastAsia="仿宋" w:cs="仿宋"/>
          <w:b w:val="0"/>
          <w:bCs w:val="0"/>
          <w:kern w:val="2"/>
          <w:sz w:val="28"/>
          <w:szCs w:val="28"/>
          <w:lang w:val="en-US" w:eastAsia="zh-CN" w:bidi="ar-SA"/>
        </w:rPr>
        <w:t>1项，</w:t>
      </w:r>
      <w:r>
        <w:rPr>
          <w:rFonts w:hint="eastAsia" w:ascii="仿宋" w:hAnsi="仿宋" w:eastAsia="仿宋" w:cs="仿宋"/>
          <w:b w:val="0"/>
          <w:bCs w:val="0"/>
          <w:kern w:val="2"/>
          <w:sz w:val="28"/>
          <w:szCs w:val="28"/>
          <w:lang w:val="zh-CN" w:eastAsia="zh-CN" w:bidi="ar-SA"/>
        </w:rPr>
        <w:t>铜奖</w:t>
      </w:r>
      <w:r>
        <w:rPr>
          <w:rFonts w:hint="eastAsia" w:ascii="仿宋" w:hAnsi="仿宋" w:eastAsia="仿宋" w:cs="仿宋"/>
          <w:b w:val="0"/>
          <w:bCs w:val="0"/>
          <w:kern w:val="2"/>
          <w:sz w:val="28"/>
          <w:szCs w:val="28"/>
          <w:lang w:val="en-US" w:eastAsia="zh-CN" w:bidi="ar-SA"/>
        </w:rPr>
        <w:t>4</w:t>
      </w:r>
      <w:r>
        <w:rPr>
          <w:rFonts w:hint="eastAsia" w:ascii="仿宋" w:hAnsi="仿宋" w:eastAsia="仿宋" w:cs="仿宋"/>
          <w:b w:val="0"/>
          <w:bCs w:val="0"/>
          <w:kern w:val="2"/>
          <w:sz w:val="28"/>
          <w:szCs w:val="28"/>
          <w:lang w:val="zh-CN" w:eastAsia="zh-CN" w:bidi="ar-SA"/>
        </w:rPr>
        <w:t>项；全国高等职业院校"发明杯"大学生创新创业大赛一等奖</w:t>
      </w:r>
      <w:r>
        <w:rPr>
          <w:rFonts w:hint="eastAsia" w:ascii="仿宋" w:hAnsi="仿宋" w:eastAsia="仿宋" w:cs="仿宋"/>
          <w:b w:val="0"/>
          <w:bCs w:val="0"/>
          <w:kern w:val="2"/>
          <w:sz w:val="28"/>
          <w:szCs w:val="28"/>
          <w:lang w:val="en-US" w:eastAsia="zh-CN" w:bidi="ar-SA"/>
        </w:rPr>
        <w:t>6</w:t>
      </w:r>
      <w:r>
        <w:rPr>
          <w:rFonts w:hint="eastAsia" w:ascii="仿宋" w:hAnsi="仿宋" w:eastAsia="仿宋" w:cs="仿宋"/>
          <w:b w:val="0"/>
          <w:bCs w:val="0"/>
          <w:kern w:val="2"/>
          <w:sz w:val="28"/>
          <w:szCs w:val="28"/>
          <w:lang w:val="zh-CN" w:eastAsia="zh-CN" w:bidi="ar-SA"/>
        </w:rPr>
        <w:t>项，三等奖1项；第四届”青春创客”系列活动江西省赛区一等奖1项、三等奖1项；第十六届“挑战杯”全国大学生课外学术科技作品竞赛江西赛区三等奖1项；第一届全国技工院校学生创业创新大赛江西省选拔赛三等奖1项；“创客中国”创新组一等奖</w:t>
      </w:r>
      <w:r>
        <w:rPr>
          <w:rFonts w:hint="eastAsia" w:ascii="仿宋" w:hAnsi="仿宋" w:eastAsia="仿宋" w:cs="仿宋"/>
          <w:b w:val="0"/>
          <w:bCs w:val="0"/>
          <w:kern w:val="2"/>
          <w:sz w:val="28"/>
          <w:szCs w:val="28"/>
          <w:lang w:val="en-US" w:eastAsia="zh-CN" w:bidi="ar-SA"/>
        </w:rPr>
        <w:t>1项，</w:t>
      </w:r>
      <w:r>
        <w:rPr>
          <w:rFonts w:hint="eastAsia" w:ascii="仿宋" w:hAnsi="仿宋" w:eastAsia="仿宋" w:cs="仿宋"/>
          <w:b w:val="0"/>
          <w:bCs w:val="0"/>
          <w:kern w:val="2"/>
          <w:sz w:val="28"/>
          <w:szCs w:val="28"/>
          <w:lang w:val="zh-CN" w:eastAsia="zh-CN" w:bidi="ar-SA"/>
        </w:rPr>
        <w:t>优胜奖1项；第九届全国大学生电子商务“创新、创意及创业”挑战赛江西赛区选拔赛获奖名单二等奖2项、三等奖1项；第三届中国创翼创新创业大赛中，以全省高校第一名的成绩斩获最佳人气奖2项，三等奖1项，市赛一等奖1项，市赛二等奖2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2019年成为中国技术协会专家工作委员会执行秘书长单位、中国创业学院联盟创新方法大赛专委会副秘书长单位，获评全国高职院校创新创业教育工作先进单位、江西省双创示范基地，建立国创导师工作站；</w:t>
      </w:r>
      <w:r>
        <w:rPr>
          <w:rFonts w:hint="eastAsia" w:ascii="仿宋" w:hAnsi="仿宋" w:eastAsia="仿宋" w:cs="仿宋"/>
          <w:b w:val="0"/>
          <w:bCs w:val="0"/>
          <w:kern w:val="2"/>
          <w:sz w:val="28"/>
          <w:szCs w:val="28"/>
          <w:lang w:val="en-US" w:eastAsia="zh-CN" w:bidi="ar-SA"/>
        </w:rPr>
        <w:t>2018年</w:t>
      </w:r>
      <w:r>
        <w:rPr>
          <w:rFonts w:hint="eastAsia" w:ascii="仿宋" w:hAnsi="仿宋" w:eastAsia="仿宋" w:cs="仿宋"/>
          <w:b w:val="0"/>
          <w:bCs w:val="0"/>
          <w:kern w:val="2"/>
          <w:sz w:val="28"/>
          <w:szCs w:val="28"/>
          <w:lang w:val="zh-CN" w:eastAsia="zh-CN" w:bidi="ar-SA"/>
        </w:rPr>
        <w:t>获批“大学生KAB创新创业教育基地”、南昌市大学生就业创业指导分中心。</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表</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 xml:space="preserve">  学生就业情况表</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textAlignment w:val="auto"/>
        <w:outlineLvl w:val="1"/>
        <w:rPr>
          <w:rFonts w:hint="eastAsia" w:ascii="仿宋" w:hAnsi="仿宋" w:eastAsia="仿宋" w:cs="仿宋"/>
          <w:b w:val="0"/>
          <w:bCs w:val="0"/>
          <w:sz w:val="28"/>
          <w:szCs w:val="28"/>
        </w:rPr>
      </w:pPr>
      <w:bookmarkStart w:id="10" w:name="_Toc6591"/>
      <w:r>
        <w:rPr>
          <w:rFonts w:hint="eastAsia" w:ascii="仿宋" w:hAnsi="仿宋" w:eastAsia="仿宋" w:cs="仿宋"/>
          <w:b w:val="0"/>
          <w:bCs w:val="0"/>
          <w:sz w:val="28"/>
          <w:szCs w:val="28"/>
        </w:rPr>
        <w:drawing>
          <wp:anchor distT="0" distB="0" distL="114300" distR="114300" simplePos="0" relativeHeight="251659264" behindDoc="0" locked="0" layoutInCell="1" allowOverlap="1">
            <wp:simplePos x="0" y="0"/>
            <wp:positionH relativeFrom="column">
              <wp:posOffset>231775</wp:posOffset>
            </wp:positionH>
            <wp:positionV relativeFrom="paragraph">
              <wp:posOffset>635</wp:posOffset>
            </wp:positionV>
            <wp:extent cx="4993640" cy="2574925"/>
            <wp:effectExtent l="0" t="0" r="16510" b="1587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993640" cy="2574925"/>
                    </a:xfrm>
                    <a:prstGeom prst="rect">
                      <a:avLst/>
                    </a:prstGeom>
                    <a:noFill/>
                    <a:ln>
                      <a:noFill/>
                    </a:ln>
                  </pic:spPr>
                </pic:pic>
              </a:graphicData>
            </a:graphic>
          </wp:anchor>
        </w:drawing>
      </w:r>
      <w:r>
        <w:rPr>
          <w:rFonts w:hint="eastAsia" w:ascii="仿宋" w:hAnsi="仿宋" w:eastAsia="仿宋" w:cs="仿宋"/>
          <w:b w:val="0"/>
          <w:bCs w:val="0"/>
          <w:sz w:val="28"/>
          <w:szCs w:val="28"/>
        </w:rPr>
        <w:t>（五）社会服务能力</w:t>
      </w:r>
      <w:bookmarkEnd w:id="10"/>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学校一直重视社会服务工作，对标江西省“双高计划”建设标准提出了“提升社会服务水平、创建社会服务品牌”任务，成立了由主要领导担任组长，相关校领导担任副组长，各二级学院院长和相关部门负责人为成员的专项工作领导小组，对学校服务区域经济社会发展工作进行统一部署、协调和组织管理。学校对标江西省高水平高等职业院校建设标准，勇挑重担，扎实开展各项工作，社会服务成效显著，社会服务累计到账255.363万元</w:t>
      </w:r>
      <w:r>
        <w:rPr>
          <w:rFonts w:hint="eastAsia" w:ascii="仿宋" w:hAnsi="仿宋" w:eastAsia="仿宋" w:cs="仿宋"/>
          <w:b w:val="0"/>
          <w:bCs w:val="0"/>
          <w:sz w:val="28"/>
          <w:szCs w:val="28"/>
          <w:lang w:eastAsia="zh-CN"/>
        </w:rPr>
        <w:t>，培训达</w:t>
      </w:r>
      <w:r>
        <w:rPr>
          <w:rFonts w:hint="eastAsia" w:ascii="仿宋" w:hAnsi="仿宋" w:eastAsia="仿宋" w:cs="仿宋"/>
          <w:b w:val="0"/>
          <w:bCs w:val="0"/>
          <w:sz w:val="28"/>
          <w:szCs w:val="28"/>
          <w:lang w:val="en-US" w:eastAsia="zh-CN"/>
        </w:rPr>
        <w:t>3956人*日</w:t>
      </w:r>
      <w:r>
        <w:rPr>
          <w:rFonts w:hint="eastAsia" w:ascii="仿宋" w:hAnsi="仿宋" w:eastAsia="仿宋" w:cs="仿宋"/>
          <w:b w:val="0"/>
          <w:bCs w:val="0"/>
          <w:sz w:val="28"/>
          <w:szCs w:val="28"/>
        </w:rPr>
        <w:t>。</w:t>
      </w:r>
    </w:p>
    <w:p>
      <w:pPr>
        <w:pStyle w:val="53"/>
        <w:keepNext w:val="0"/>
        <w:keepLines w:val="0"/>
        <w:pageBreakBefore w:val="0"/>
        <w:kinsoku/>
        <w:overflowPunct/>
        <w:topLinePunct w:val="0"/>
        <w:autoSpaceDE/>
        <w:autoSpaceDN/>
        <w:bidi w:val="0"/>
        <w:adjustRightInd/>
        <w:snapToGrid/>
        <w:spacing w:line="240" w:lineRule="auto"/>
        <w:ind w:firstLine="560" w:firstLineChars="200"/>
        <w:jc w:val="both"/>
        <w:outlineLvl w:val="2"/>
        <w:rPr>
          <w:rFonts w:hint="eastAsia" w:ascii="仿宋" w:hAnsi="仿宋" w:eastAsia="仿宋" w:cs="仿宋"/>
          <w:b w:val="0"/>
          <w:bCs w:val="0"/>
          <w:sz w:val="28"/>
          <w:szCs w:val="28"/>
        </w:rPr>
      </w:pPr>
      <w:bookmarkStart w:id="11" w:name="_Toc4942"/>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多措并举，立足社会需求拓展科研服务</w:t>
      </w:r>
      <w:bookmarkEnd w:id="11"/>
    </w:p>
    <w:p>
      <w:pPr>
        <w:pStyle w:val="53"/>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学校科研工作一直贯彻“做大科研、强化激励、优化服务”的改革思路，紧紧围绕服务国家战略，服务地方发展，结合优势和特色，聚焦地方和行业急需，通过项目立项等方式主动服务地方经济。出台《江西旅游商贸职业学院教师科研能力培训管理办法》《江西旅游商贸职业学院科研工作量核算与科研成果奖励办法若干补充规定》等文件，进一步凝练学术研究方向，打造学术研究团队，培育学术精品，不断提高科研创新能力。科研项目申报和立项的数量和质量逐步提升，科研成果日渐丰硕，横向课题累计到账10万元。</w:t>
      </w:r>
    </w:p>
    <w:p>
      <w:pPr>
        <w:pStyle w:val="53"/>
        <w:keepNext w:val="0"/>
        <w:keepLines w:val="0"/>
        <w:pageBreakBefore w:val="0"/>
        <w:kinsoku/>
        <w:overflowPunct/>
        <w:topLinePunct w:val="0"/>
        <w:autoSpaceDE/>
        <w:autoSpaceDN/>
        <w:bidi w:val="0"/>
        <w:adjustRightInd/>
        <w:snapToGrid/>
        <w:spacing w:line="240" w:lineRule="auto"/>
        <w:ind w:left="0" w:leftChars="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表</w:t>
      </w:r>
      <w:r>
        <w:rPr>
          <w:rFonts w:hint="eastAsia" w:ascii="仿宋" w:hAnsi="仿宋" w:cs="仿宋"/>
          <w:b w:val="0"/>
          <w:bCs w:val="0"/>
          <w:sz w:val="28"/>
          <w:szCs w:val="28"/>
          <w:lang w:val="en-US" w:eastAsia="zh-CN"/>
        </w:rPr>
        <w:t>5</w:t>
      </w:r>
      <w:r>
        <w:rPr>
          <w:rFonts w:hint="eastAsia" w:ascii="仿宋" w:hAnsi="仿宋" w:eastAsia="仿宋" w:cs="仿宋"/>
          <w:b w:val="0"/>
          <w:bCs w:val="0"/>
          <w:sz w:val="28"/>
          <w:szCs w:val="28"/>
        </w:rPr>
        <w:t xml:space="preserve">  横向课题到账明细</w:t>
      </w:r>
    </w:p>
    <w:tbl>
      <w:tblPr>
        <w:tblStyle w:val="20"/>
        <w:tblW w:w="5669" w:type="dxa"/>
        <w:tblInd w:w="0" w:type="dxa"/>
        <w:tblLayout w:type="autofit"/>
        <w:tblCellMar>
          <w:top w:w="0" w:type="dxa"/>
          <w:left w:w="0" w:type="dxa"/>
          <w:bottom w:w="0" w:type="dxa"/>
          <w:right w:w="0" w:type="dxa"/>
        </w:tblCellMar>
      </w:tblPr>
      <w:tblGrid>
        <w:gridCol w:w="463"/>
        <w:gridCol w:w="4051"/>
        <w:gridCol w:w="717"/>
        <w:gridCol w:w="1733"/>
        <w:gridCol w:w="686"/>
        <w:gridCol w:w="686"/>
      </w:tblGrid>
      <w:tr>
        <w:tblPrEx>
          <w:tblCellMar>
            <w:top w:w="0" w:type="dxa"/>
            <w:left w:w="0" w:type="dxa"/>
            <w:bottom w:w="0" w:type="dxa"/>
            <w:right w:w="0" w:type="dxa"/>
          </w:tblCellMar>
        </w:tblPrEx>
        <w:trPr>
          <w:trHeight w:val="285"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序号</w:t>
            </w:r>
          </w:p>
        </w:tc>
        <w:tc>
          <w:tcPr>
            <w:tcW w:w="70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项目名称</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负责人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备注</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收入（万元）</w:t>
            </w:r>
          </w:p>
        </w:tc>
      </w:tr>
      <w:tr>
        <w:tblPrEx>
          <w:tblCellMar>
            <w:top w:w="0" w:type="dxa"/>
            <w:left w:w="0" w:type="dxa"/>
            <w:bottom w:w="0" w:type="dxa"/>
            <w:right w:w="0" w:type="dxa"/>
          </w:tblCellMar>
        </w:tblPrEx>
        <w:trPr>
          <w:trHeight w:val="285"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b w:val="0"/>
                <w:bCs w:val="0"/>
                <w:sz w:val="21"/>
                <w:szCs w:val="21"/>
                <w:lang w:val="zh-CN"/>
              </w:rPr>
            </w:pPr>
          </w:p>
        </w:tc>
        <w:tc>
          <w:tcPr>
            <w:tcW w:w="70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b w:val="0"/>
                <w:bCs w:val="0"/>
                <w:sz w:val="21"/>
                <w:szCs w:val="21"/>
                <w:lang w:val="zh-CN"/>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b w:val="0"/>
                <w:bCs w:val="0"/>
                <w:sz w:val="21"/>
                <w:szCs w:val="21"/>
                <w:lang w:val="zh-CN"/>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b w:val="0"/>
                <w:bCs w:val="0"/>
                <w:sz w:val="21"/>
                <w:szCs w:val="21"/>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2018年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2019年</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安义县建立干部基层调研常态化工作机制研究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吴小平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安义县横向服务课题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1</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安义县依托现有资源加快发展精品民宿旅游产业研究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郭琨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安义县横向服务课题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1</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3</w:t>
            </w:r>
          </w:p>
        </w:tc>
        <w:tc>
          <w:tcPr>
            <w:tcW w:w="7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“实用型”电子实验教学装置的研究与制作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王敏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江西省教育厅科技项目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b w:val="0"/>
                <w:bCs w:val="0"/>
                <w:sz w:val="21"/>
                <w:szCs w:val="21"/>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2</w:t>
            </w:r>
          </w:p>
        </w:tc>
      </w:tr>
      <w:tr>
        <w:tblPrEx>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4</w:t>
            </w:r>
          </w:p>
        </w:tc>
        <w:tc>
          <w:tcPr>
            <w:tcW w:w="7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基本健康理念下婴幼儿看护灯设计研究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罗坤明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江西省教育厅科技项目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b w:val="0"/>
                <w:bCs w:val="0"/>
                <w:sz w:val="21"/>
                <w:szCs w:val="21"/>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2</w:t>
            </w:r>
          </w:p>
        </w:tc>
      </w:tr>
      <w:tr>
        <w:tblPrEx>
          <w:tblCellMar>
            <w:top w:w="0" w:type="dxa"/>
            <w:left w:w="0" w:type="dxa"/>
            <w:bottom w:w="0" w:type="dxa"/>
            <w:right w:w="0"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5</w:t>
            </w:r>
          </w:p>
        </w:tc>
        <w:tc>
          <w:tcPr>
            <w:tcW w:w="7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高职英语教材对比分析与调查研究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王明生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应用研究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b w:val="0"/>
                <w:bCs w:val="0"/>
                <w:sz w:val="21"/>
                <w:szCs w:val="21"/>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1</w:t>
            </w:r>
          </w:p>
        </w:tc>
      </w:tr>
      <w:tr>
        <w:tblPrEx>
          <w:tblCellMar>
            <w:top w:w="0" w:type="dxa"/>
            <w:left w:w="0" w:type="dxa"/>
            <w:bottom w:w="0" w:type="dxa"/>
            <w:right w:w="0"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现代学徒制框架下屈臣氏零售店长培养模式探索与实践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陶剑华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校企合作专项课题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b w:val="0"/>
                <w:bCs w:val="0"/>
                <w:sz w:val="21"/>
                <w:szCs w:val="21"/>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1</w:t>
            </w:r>
          </w:p>
        </w:tc>
      </w:tr>
      <w:tr>
        <w:tblPrEx>
          <w:tblCellMar>
            <w:top w:w="0" w:type="dxa"/>
            <w:left w:w="0" w:type="dxa"/>
            <w:bottom w:w="0" w:type="dxa"/>
            <w:right w:w="0" w:type="dxa"/>
          </w:tblCellMar>
        </w:tblPrEx>
        <w:trPr>
          <w:trHeight w:val="3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汇总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b w:val="0"/>
                <w:bCs w:val="0"/>
                <w:sz w:val="21"/>
                <w:szCs w:val="21"/>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b w:val="0"/>
                <w:bCs w:val="0"/>
                <w:sz w:val="21"/>
                <w:szCs w:val="21"/>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仿宋" w:hAnsi="仿宋" w:eastAsia="仿宋" w:cs="仿宋"/>
                <w:b w:val="0"/>
                <w:bCs w:val="0"/>
                <w:sz w:val="21"/>
                <w:szCs w:val="21"/>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仿宋" w:hAnsi="仿宋" w:eastAsia="仿宋" w:cs="仿宋"/>
                <w:b w:val="0"/>
                <w:bCs w:val="0"/>
                <w:sz w:val="21"/>
                <w:szCs w:val="21"/>
                <w:lang w:val="zh-CN"/>
              </w:rPr>
            </w:pPr>
            <w:r>
              <w:rPr>
                <w:rFonts w:hint="eastAsia" w:ascii="仿宋" w:hAnsi="仿宋" w:eastAsia="仿宋" w:cs="仿宋"/>
                <w:b w:val="0"/>
                <w:bCs w:val="0"/>
                <w:sz w:val="21"/>
                <w:szCs w:val="21"/>
                <w:lang w:val="zh-CN"/>
              </w:rPr>
              <w:t>8</w:t>
            </w:r>
          </w:p>
        </w:tc>
      </w:tr>
    </w:tbl>
    <w:p>
      <w:pPr>
        <w:pStyle w:val="53"/>
        <w:keepNext w:val="0"/>
        <w:keepLines w:val="0"/>
        <w:pageBreakBefore w:val="0"/>
        <w:kinsoku/>
        <w:overflowPunct/>
        <w:topLinePunct w:val="0"/>
        <w:autoSpaceDE/>
        <w:autoSpaceDN/>
        <w:bidi w:val="0"/>
        <w:adjustRightInd/>
        <w:snapToGrid/>
        <w:spacing w:line="240" w:lineRule="auto"/>
        <w:ind w:firstLine="560" w:firstLineChars="200"/>
        <w:jc w:val="both"/>
        <w:outlineLvl w:val="2"/>
        <w:rPr>
          <w:rFonts w:hint="eastAsia" w:ascii="仿宋" w:hAnsi="仿宋" w:eastAsia="仿宋" w:cs="仿宋"/>
          <w:b w:val="0"/>
          <w:bCs w:val="0"/>
          <w:kern w:val="2"/>
          <w:sz w:val="28"/>
          <w:szCs w:val="28"/>
          <w:lang w:val="zh-CN" w:eastAsia="zh-CN" w:bidi="ar-SA"/>
        </w:rPr>
      </w:pPr>
      <w:bookmarkStart w:id="12" w:name="_Toc2001"/>
      <w:r>
        <w:rPr>
          <w:rFonts w:hint="eastAsia" w:ascii="仿宋" w:hAnsi="仿宋" w:cs="仿宋"/>
          <w:b w:val="0"/>
          <w:bCs w:val="0"/>
          <w:kern w:val="2"/>
          <w:sz w:val="28"/>
          <w:szCs w:val="28"/>
          <w:lang w:val="en-US" w:eastAsia="zh-CN" w:bidi="ar-SA"/>
        </w:rPr>
        <w:t>2.</w:t>
      </w:r>
      <w:r>
        <w:rPr>
          <w:rFonts w:hint="eastAsia" w:ascii="仿宋" w:hAnsi="仿宋" w:eastAsia="仿宋" w:cs="仿宋"/>
          <w:b w:val="0"/>
          <w:bCs w:val="0"/>
          <w:kern w:val="2"/>
          <w:sz w:val="28"/>
          <w:szCs w:val="28"/>
          <w:lang w:val="zh-CN" w:eastAsia="zh-CN" w:bidi="ar-SA"/>
        </w:rPr>
        <w:t>量体裁衣，开展各类社会培训</w:t>
      </w:r>
      <w:r>
        <w:rPr>
          <w:rFonts w:hint="eastAsia" w:ascii="仿宋" w:hAnsi="仿宋" w:cs="仿宋"/>
          <w:b w:val="0"/>
          <w:bCs w:val="0"/>
          <w:kern w:val="2"/>
          <w:sz w:val="28"/>
          <w:szCs w:val="28"/>
          <w:lang w:val="zh-CN" w:eastAsia="zh-CN" w:bidi="ar-SA"/>
        </w:rPr>
        <w:t>工作</w:t>
      </w:r>
      <w:bookmarkEnd w:id="12"/>
    </w:p>
    <w:p>
      <w:pPr>
        <w:pStyle w:val="53"/>
        <w:keepNext w:val="0"/>
        <w:keepLines w:val="0"/>
        <w:pageBreakBefore w:val="0"/>
        <w:kinsoku/>
        <w:overflowPunct/>
        <w:topLinePunct w:val="0"/>
        <w:autoSpaceDE/>
        <w:autoSpaceDN/>
        <w:bidi w:val="0"/>
        <w:adjustRightInd/>
        <w:snapToGrid/>
        <w:spacing w:line="240" w:lineRule="auto"/>
        <w:ind w:firstLine="560" w:firstLineChars="200"/>
        <w:jc w:val="both"/>
        <w:outlineLvl w:val="2"/>
        <w:rPr>
          <w:rFonts w:hint="eastAsia" w:ascii="仿宋" w:hAnsi="仿宋" w:eastAsia="仿宋" w:cs="仿宋"/>
          <w:b w:val="0"/>
          <w:bCs w:val="0"/>
          <w:kern w:val="2"/>
          <w:sz w:val="28"/>
          <w:szCs w:val="28"/>
          <w:lang w:val="zh-CN" w:eastAsia="zh-CN" w:bidi="ar-SA"/>
        </w:rPr>
      </w:pPr>
      <w:bookmarkStart w:id="13" w:name="_Toc8098"/>
      <w:r>
        <w:rPr>
          <w:rFonts w:hint="eastAsia" w:ascii="仿宋" w:hAnsi="仿宋" w:cs="仿宋"/>
          <w:b w:val="0"/>
          <w:bCs w:val="0"/>
          <w:kern w:val="2"/>
          <w:sz w:val="28"/>
          <w:szCs w:val="28"/>
          <w:lang w:val="zh-CN" w:eastAsia="zh-CN" w:bidi="ar-SA"/>
        </w:rPr>
        <w:t>（</w:t>
      </w:r>
      <w:r>
        <w:rPr>
          <w:rFonts w:hint="eastAsia" w:ascii="仿宋" w:hAnsi="仿宋" w:cs="仿宋"/>
          <w:b w:val="0"/>
          <w:bCs w:val="0"/>
          <w:kern w:val="2"/>
          <w:sz w:val="28"/>
          <w:szCs w:val="28"/>
          <w:lang w:val="en-US" w:eastAsia="zh-CN" w:bidi="ar-SA"/>
        </w:rPr>
        <w:t>1</w:t>
      </w:r>
      <w:r>
        <w:rPr>
          <w:rFonts w:hint="eastAsia" w:ascii="仿宋" w:hAnsi="仿宋" w:cs="仿宋"/>
          <w:b w:val="0"/>
          <w:bCs w:val="0"/>
          <w:kern w:val="2"/>
          <w:sz w:val="28"/>
          <w:szCs w:val="28"/>
          <w:lang w:val="zh-CN" w:eastAsia="zh-CN" w:bidi="ar-SA"/>
        </w:rPr>
        <w:t>）</w:t>
      </w:r>
      <w:r>
        <w:rPr>
          <w:rFonts w:hint="eastAsia" w:ascii="仿宋" w:hAnsi="仿宋" w:eastAsia="仿宋" w:cs="仿宋"/>
          <w:b w:val="0"/>
          <w:bCs w:val="0"/>
          <w:kern w:val="2"/>
          <w:sz w:val="28"/>
          <w:szCs w:val="28"/>
          <w:lang w:val="zh-CN" w:eastAsia="zh-CN" w:bidi="ar-SA"/>
        </w:rPr>
        <w:t>整合资源，开展社会培训服务工作</w:t>
      </w:r>
      <w:bookmarkEnd w:id="13"/>
    </w:p>
    <w:p>
      <w:pPr>
        <w:pStyle w:val="53"/>
        <w:keepNext w:val="0"/>
        <w:keepLines w:val="0"/>
        <w:pageBreakBefore w:val="0"/>
        <w:kinsoku/>
        <w:overflowPunct/>
        <w:topLinePunct w:val="0"/>
        <w:autoSpaceDE/>
        <w:autoSpaceDN/>
        <w:bidi w:val="0"/>
        <w:adjustRightInd/>
        <w:snapToGrid/>
        <w:spacing w:line="240" w:lineRule="auto"/>
        <w:ind w:firstLine="560" w:firstLineChars="200"/>
        <w:jc w:val="both"/>
        <w:outlineLvl w:val="2"/>
        <w:rPr>
          <w:rFonts w:hint="eastAsia" w:ascii="仿宋" w:hAnsi="仿宋" w:eastAsia="仿宋" w:cs="仿宋"/>
          <w:b w:val="0"/>
          <w:bCs w:val="0"/>
          <w:kern w:val="2"/>
          <w:sz w:val="28"/>
          <w:szCs w:val="28"/>
          <w:lang w:val="zh-CN" w:eastAsia="zh-CN" w:bidi="ar-SA"/>
        </w:rPr>
      </w:pPr>
      <w:bookmarkStart w:id="14" w:name="_Toc27982"/>
      <w:r>
        <w:rPr>
          <w:rFonts w:hint="eastAsia" w:ascii="仿宋" w:hAnsi="仿宋" w:eastAsia="仿宋" w:cs="仿宋"/>
          <w:b w:val="0"/>
          <w:bCs w:val="0"/>
          <w:kern w:val="2"/>
          <w:sz w:val="28"/>
          <w:szCs w:val="28"/>
          <w:lang w:val="zh-CN" w:eastAsia="zh-CN" w:bidi="ar-SA"/>
        </w:rPr>
        <w:t>充分发挥获批的农村电子商务师资培训基地、供销合作社电子商务职业教育基地等资质条件和精良的专业师资队伍，开展供销合作社电商扶贫专题培训，为行业企业人员的技能提升及经济社会发展做出积极贡献。累计完成330人*日。</w:t>
      </w:r>
      <w:bookmarkEnd w:id="14"/>
    </w:p>
    <w:p>
      <w:pPr>
        <w:pStyle w:val="53"/>
        <w:keepNext w:val="0"/>
        <w:keepLines w:val="0"/>
        <w:pageBreakBefore w:val="0"/>
        <w:kinsoku/>
        <w:overflowPunct/>
        <w:topLinePunct w:val="0"/>
        <w:autoSpaceDE/>
        <w:autoSpaceDN/>
        <w:bidi w:val="0"/>
        <w:adjustRightInd/>
        <w:snapToGrid/>
        <w:spacing w:line="240" w:lineRule="auto"/>
        <w:ind w:firstLine="560" w:firstLineChars="200"/>
        <w:jc w:val="both"/>
        <w:outlineLvl w:val="2"/>
        <w:rPr>
          <w:rFonts w:hint="eastAsia" w:ascii="仿宋" w:hAnsi="仿宋" w:eastAsia="仿宋" w:cs="仿宋"/>
          <w:b w:val="0"/>
          <w:bCs w:val="0"/>
          <w:kern w:val="2"/>
          <w:sz w:val="28"/>
          <w:szCs w:val="28"/>
          <w:lang w:val="zh-CN" w:eastAsia="zh-CN" w:bidi="ar-SA"/>
        </w:rPr>
      </w:pPr>
      <w:bookmarkStart w:id="15" w:name="_Toc9571"/>
      <w:r>
        <w:rPr>
          <w:rFonts w:hint="eastAsia" w:ascii="仿宋" w:hAnsi="仿宋" w:cs="仿宋"/>
          <w:b w:val="0"/>
          <w:bCs w:val="0"/>
          <w:kern w:val="2"/>
          <w:sz w:val="28"/>
          <w:szCs w:val="28"/>
          <w:lang w:val="zh-CN" w:eastAsia="zh-CN" w:bidi="ar-SA"/>
        </w:rPr>
        <w:t>（</w:t>
      </w:r>
      <w:r>
        <w:rPr>
          <w:rFonts w:hint="eastAsia" w:ascii="仿宋" w:hAnsi="仿宋" w:cs="仿宋"/>
          <w:b w:val="0"/>
          <w:bCs w:val="0"/>
          <w:kern w:val="2"/>
          <w:sz w:val="28"/>
          <w:szCs w:val="28"/>
          <w:lang w:val="en-US" w:eastAsia="zh-CN" w:bidi="ar-SA"/>
        </w:rPr>
        <w:t>2</w:t>
      </w:r>
      <w:r>
        <w:rPr>
          <w:rFonts w:hint="eastAsia" w:ascii="仿宋" w:hAnsi="仿宋" w:cs="仿宋"/>
          <w:b w:val="0"/>
          <w:bCs w:val="0"/>
          <w:kern w:val="2"/>
          <w:sz w:val="28"/>
          <w:szCs w:val="28"/>
          <w:lang w:val="zh-CN" w:eastAsia="zh-CN" w:bidi="ar-SA"/>
        </w:rPr>
        <w:t>）</w:t>
      </w:r>
      <w:r>
        <w:rPr>
          <w:rFonts w:hint="eastAsia" w:ascii="仿宋" w:hAnsi="仿宋" w:eastAsia="仿宋" w:cs="仿宋"/>
          <w:b w:val="0"/>
          <w:bCs w:val="0"/>
          <w:kern w:val="2"/>
          <w:sz w:val="28"/>
          <w:szCs w:val="28"/>
          <w:lang w:val="zh-CN" w:eastAsia="zh-CN" w:bidi="ar-SA"/>
        </w:rPr>
        <w:t>结合需求，开展创业培训工作</w:t>
      </w:r>
      <w:bookmarkEnd w:id="15"/>
    </w:p>
    <w:p>
      <w:pPr>
        <w:pStyle w:val="53"/>
        <w:keepNext w:val="0"/>
        <w:keepLines w:val="0"/>
        <w:pageBreakBefore w:val="0"/>
        <w:kinsoku/>
        <w:overflowPunct/>
        <w:topLinePunct w:val="0"/>
        <w:autoSpaceDE/>
        <w:autoSpaceDN/>
        <w:bidi w:val="0"/>
        <w:adjustRightInd/>
        <w:snapToGrid/>
        <w:spacing w:line="240" w:lineRule="auto"/>
        <w:ind w:firstLine="560" w:firstLineChars="200"/>
        <w:jc w:val="both"/>
        <w:outlineLvl w:val="2"/>
        <w:rPr>
          <w:rFonts w:hint="eastAsia" w:ascii="仿宋" w:hAnsi="仿宋" w:eastAsia="仿宋" w:cs="仿宋"/>
          <w:b w:val="0"/>
          <w:bCs w:val="0"/>
          <w:kern w:val="2"/>
          <w:sz w:val="28"/>
          <w:szCs w:val="28"/>
          <w:lang w:val="zh-CN" w:eastAsia="zh-CN" w:bidi="ar-SA"/>
        </w:rPr>
      </w:pPr>
      <w:bookmarkStart w:id="16" w:name="_Toc14476"/>
      <w:r>
        <w:rPr>
          <w:rFonts w:hint="eastAsia" w:ascii="仿宋" w:hAnsi="仿宋" w:eastAsia="仿宋" w:cs="仿宋"/>
          <w:b w:val="0"/>
          <w:bCs w:val="0"/>
          <w:kern w:val="2"/>
          <w:sz w:val="28"/>
          <w:szCs w:val="28"/>
          <w:lang w:val="zh-CN" w:eastAsia="zh-CN" w:bidi="ar-SA"/>
        </w:rPr>
        <w:t>根据《关于印发&lt;江西省就业补助资金职业培训补贴管理办法&gt;的通知》( 赣人社发[2019]3号)文件精神，结合大学生的实际需求，整合资源为大学生开展SYB创业培训，进一步有效提高学生的创业综合素质，大力推动创业就业工作的前进步伐。</w:t>
      </w:r>
      <w:bookmarkEnd w:id="16"/>
    </w:p>
    <w:p>
      <w:pPr>
        <w:pStyle w:val="53"/>
        <w:keepNext w:val="0"/>
        <w:keepLines w:val="0"/>
        <w:pageBreakBefore w:val="0"/>
        <w:kinsoku/>
        <w:overflowPunct/>
        <w:topLinePunct w:val="0"/>
        <w:autoSpaceDE/>
        <w:autoSpaceDN/>
        <w:bidi w:val="0"/>
        <w:adjustRightInd/>
        <w:snapToGrid/>
        <w:spacing w:line="240" w:lineRule="auto"/>
        <w:ind w:firstLine="560" w:firstLineChars="200"/>
        <w:jc w:val="both"/>
        <w:outlineLvl w:val="2"/>
        <w:rPr>
          <w:rFonts w:hint="eastAsia" w:ascii="仿宋" w:hAnsi="仿宋" w:eastAsia="仿宋" w:cs="仿宋"/>
          <w:b w:val="0"/>
          <w:bCs w:val="0"/>
          <w:sz w:val="28"/>
          <w:szCs w:val="28"/>
        </w:rPr>
      </w:pPr>
      <w:bookmarkStart w:id="17" w:name="_Toc12487"/>
      <w:r>
        <w:rPr>
          <w:rFonts w:hint="eastAsia" w:ascii="仿宋" w:hAnsi="仿宋" w:cs="仿宋"/>
          <w:b w:val="0"/>
          <w:bCs w:val="0"/>
          <w:sz w:val="28"/>
          <w:szCs w:val="28"/>
          <w:lang w:val="en-US" w:eastAsia="zh-CN"/>
        </w:rPr>
        <w:t>3.</w:t>
      </w:r>
      <w:r>
        <w:rPr>
          <w:rFonts w:hint="eastAsia" w:ascii="仿宋" w:hAnsi="仿宋" w:eastAsia="仿宋" w:cs="仿宋"/>
          <w:b w:val="0"/>
          <w:bCs w:val="0"/>
          <w:sz w:val="28"/>
          <w:szCs w:val="28"/>
        </w:rPr>
        <w:t>对口支援，服务精准扶贫工作</w:t>
      </w:r>
      <w:bookmarkEnd w:id="17"/>
    </w:p>
    <w:p>
      <w:pPr>
        <w:pStyle w:val="53"/>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 w:val="0"/>
          <w:bCs w:val="0"/>
          <w:sz w:val="28"/>
          <w:szCs w:val="28"/>
        </w:rPr>
      </w:pPr>
      <w:r>
        <w:rPr>
          <w:rFonts w:hint="eastAsia" w:ascii="仿宋" w:hAnsi="仿宋" w:eastAsia="仿宋" w:cs="仿宋"/>
          <w:b w:val="0"/>
          <w:bCs w:val="0"/>
          <w:sz w:val="28"/>
          <w:szCs w:val="28"/>
        </w:rPr>
        <w:t>学校深入落实中央及江西省委关于全力打好精准扶贫攻坚战的战略要求，充分发挥学科优势，利用自身人才、科技、教育等方面资源，积极做好教育扶贫和援疆扶贫。</w:t>
      </w:r>
    </w:p>
    <w:p>
      <w:pPr>
        <w:pStyle w:val="53"/>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 w:val="0"/>
          <w:bCs w:val="0"/>
          <w:sz w:val="28"/>
          <w:szCs w:val="28"/>
        </w:rPr>
      </w:pPr>
      <w:r>
        <w:rPr>
          <w:rFonts w:hint="eastAsia" w:ascii="仿宋" w:hAnsi="仿宋" w:cs="仿宋"/>
          <w:b w:val="0"/>
          <w:bCs w:val="0"/>
          <w:sz w:val="28"/>
          <w:szCs w:val="28"/>
          <w:lang w:eastAsia="zh-CN"/>
        </w:rPr>
        <w:t>（</w:t>
      </w:r>
      <w:r>
        <w:rPr>
          <w:rFonts w:hint="eastAsia" w:ascii="仿宋" w:hAnsi="仿宋" w:cs="仿宋"/>
          <w:b w:val="0"/>
          <w:bCs w:val="0"/>
          <w:sz w:val="28"/>
          <w:szCs w:val="28"/>
          <w:lang w:val="en-US" w:eastAsia="zh-CN"/>
        </w:rPr>
        <w:t>1</w:t>
      </w:r>
      <w:r>
        <w:rPr>
          <w:rFonts w:hint="eastAsia" w:ascii="仿宋" w:hAnsi="仿宋" w:cs="仿宋"/>
          <w:b w:val="0"/>
          <w:bCs w:val="0"/>
          <w:sz w:val="28"/>
          <w:szCs w:val="28"/>
          <w:lang w:eastAsia="zh-CN"/>
        </w:rPr>
        <w:t>）</w:t>
      </w:r>
      <w:r>
        <w:rPr>
          <w:rFonts w:hint="eastAsia" w:ascii="仿宋" w:hAnsi="仿宋" w:eastAsia="仿宋" w:cs="仿宋"/>
          <w:b w:val="0"/>
          <w:bCs w:val="0"/>
          <w:sz w:val="28"/>
          <w:szCs w:val="28"/>
        </w:rPr>
        <w:t>对口帮扶，做好教育扶贫工作</w:t>
      </w:r>
    </w:p>
    <w:p>
      <w:pPr>
        <w:keepNext w:val="0"/>
        <w:keepLines w:val="0"/>
        <w:pageBreakBefore w:val="0"/>
        <w:kinsoku/>
        <w:overflowPunct/>
        <w:topLinePunct w:val="0"/>
        <w:autoSpaceDE/>
        <w:autoSpaceDN/>
        <w:bidi w:val="0"/>
        <w:adjustRightInd/>
        <w:snapToGrid/>
        <w:spacing w:line="240" w:lineRule="auto"/>
        <w:ind w:firstLine="560" w:firstLineChars="200"/>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2019年学校和广昌县职业技术学校共同完成招生学前教育专业30名中高职对接学生计划，五年制的学前教育专业，其中前三年在广昌县职业技术学校就读，后两年在我校就读，力争2020年中高职对接学生计划达到250人：学前教育90人（2个班）、电子信息（对接电气自动化，80人）、计算机应用（80人）;帮助广昌职校积极参加各类技能竞赛，以赛促教、以赛促学。派出专业教师和广昌职校教师一起共同组建竞赛指导团队，选拔学生、分析赛况，积极参加技能竞赛，在2019年度市级中等学校技能比赛中取得了4个二等奖、8个三等奖的突出成绩;协助广昌职校新建舞蹈、美术、手工等实训室三间，为学前教育专业建设打下了良好基础。</w:t>
      </w:r>
    </w:p>
    <w:p>
      <w:pPr>
        <w:pStyle w:val="53"/>
        <w:keepNext w:val="0"/>
        <w:keepLines w:val="0"/>
        <w:pageBreakBefore w:val="0"/>
        <w:kinsoku/>
        <w:overflowPunct/>
        <w:topLinePunct w:val="0"/>
        <w:autoSpaceDE/>
        <w:autoSpaceDN/>
        <w:bidi w:val="0"/>
        <w:adjustRightInd/>
        <w:snapToGrid/>
        <w:spacing w:line="240" w:lineRule="auto"/>
        <w:ind w:firstLine="560" w:firstLineChars="200"/>
        <w:jc w:val="both"/>
        <w:rPr>
          <w:rFonts w:hint="eastAsia" w:ascii="仿宋" w:hAnsi="仿宋" w:eastAsia="仿宋" w:cs="仿宋"/>
          <w:b w:val="0"/>
          <w:bCs w:val="0"/>
          <w:sz w:val="28"/>
          <w:szCs w:val="28"/>
        </w:rPr>
      </w:pPr>
      <w:r>
        <w:rPr>
          <w:rFonts w:hint="eastAsia" w:ascii="仿宋" w:hAnsi="仿宋" w:cs="仿宋"/>
          <w:b w:val="0"/>
          <w:bCs w:val="0"/>
          <w:sz w:val="28"/>
          <w:szCs w:val="28"/>
          <w:lang w:eastAsia="zh-CN"/>
        </w:rPr>
        <w:t>（</w:t>
      </w:r>
      <w:r>
        <w:rPr>
          <w:rFonts w:hint="eastAsia" w:ascii="仿宋" w:hAnsi="仿宋" w:cs="仿宋"/>
          <w:b w:val="0"/>
          <w:bCs w:val="0"/>
          <w:sz w:val="28"/>
          <w:szCs w:val="28"/>
          <w:lang w:val="en-US" w:eastAsia="zh-CN"/>
        </w:rPr>
        <w:t>2</w:t>
      </w:r>
      <w:r>
        <w:rPr>
          <w:rFonts w:hint="eastAsia" w:ascii="仿宋" w:hAnsi="仿宋" w:cs="仿宋"/>
          <w:b w:val="0"/>
          <w:bCs w:val="0"/>
          <w:sz w:val="28"/>
          <w:szCs w:val="28"/>
          <w:lang w:eastAsia="zh-CN"/>
        </w:rPr>
        <w:t>）</w:t>
      </w:r>
      <w:r>
        <w:rPr>
          <w:rFonts w:hint="eastAsia" w:ascii="仿宋" w:hAnsi="仿宋" w:eastAsia="仿宋" w:cs="仿宋"/>
          <w:b w:val="0"/>
          <w:bCs w:val="0"/>
          <w:sz w:val="28"/>
          <w:szCs w:val="28"/>
        </w:rPr>
        <w:t>对口支援，开展援疆帮扶工作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受江西省教育厅委托，在江西对口支援新疆工作前方指挥部的具体统筹部署下，学校与新疆克孜勒苏职业技术学院签订了《江西旅游商贸职业学院对口支援克孜勒苏职业技术学院“院包系”协议书》，明确了学校在实训基地建设、师资队伍建设、教师挂职支教、旅游职业教育研究、资源信息共享等方面的帮扶内容。2019年5月举行了“江西克州旅游商贸共建教学基地”揭牌仪式;近两年选派了曲龙、谌威、肖可、熊铭贵等专业骨干教师赴新疆克州职业技术学院开展为期一学期的支教工作，完成旅游管理专业课程授课任务，提高当地院校旅游管理专业教师授课水平；克孜勒苏职业技术学院酒店管理专业陈彩娟和旅游管理专业何鹏两名教师已到江西旅游职教集团秘书处挂职锻炼，通过两个月“教学做一体课程+企业实践”的学习模式培养，学习学校旅游特色专业和企业实战管理相关知识和技能，提升旅游职业教育本领。</w:t>
      </w:r>
    </w:p>
    <w:p>
      <w:pPr>
        <w:pStyle w:val="53"/>
        <w:keepNext w:val="0"/>
        <w:keepLines w:val="0"/>
        <w:pageBreakBefore w:val="0"/>
        <w:kinsoku/>
        <w:overflowPunct/>
        <w:topLinePunct w:val="0"/>
        <w:autoSpaceDE/>
        <w:autoSpaceDN/>
        <w:bidi w:val="0"/>
        <w:adjustRightInd/>
        <w:snapToGrid/>
        <w:spacing w:line="240" w:lineRule="auto"/>
        <w:ind w:firstLine="560" w:firstLineChars="200"/>
        <w:jc w:val="both"/>
        <w:outlineLvl w:val="2"/>
        <w:rPr>
          <w:rFonts w:hint="eastAsia" w:ascii="仿宋" w:hAnsi="仿宋" w:eastAsia="仿宋" w:cs="仿宋"/>
          <w:b w:val="0"/>
          <w:bCs w:val="0"/>
          <w:sz w:val="28"/>
          <w:szCs w:val="28"/>
        </w:rPr>
      </w:pPr>
      <w:bookmarkStart w:id="18" w:name="_Toc18209"/>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以职教集团为依托，提升社会服务水平</w:t>
      </w:r>
      <w:bookmarkEnd w:id="18"/>
    </w:p>
    <w:p>
      <w:pPr>
        <w:pStyle w:val="53"/>
        <w:keepNext w:val="0"/>
        <w:keepLines w:val="0"/>
        <w:pageBreakBefore w:val="0"/>
        <w:kinsoku/>
        <w:overflowPunct/>
        <w:topLinePunct w:val="0"/>
        <w:autoSpaceDE/>
        <w:autoSpaceDN/>
        <w:bidi w:val="0"/>
        <w:adjustRightInd/>
        <w:snapToGrid/>
        <w:spacing w:line="24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rPr>
        <w:t>经江西省教育厅批准，学校现有江西供销职业教育集团和旅游职业教育集团。</w:t>
      </w:r>
      <w:r>
        <w:rPr>
          <w:rFonts w:hint="eastAsia" w:ascii="仿宋" w:hAnsi="仿宋" w:eastAsia="仿宋" w:cs="仿宋"/>
          <w:b w:val="0"/>
          <w:bCs w:val="0"/>
          <w:sz w:val="28"/>
          <w:szCs w:val="28"/>
          <w:lang w:eastAsia="zh-CN"/>
        </w:rPr>
        <w:t>江西</w:t>
      </w:r>
      <w:r>
        <w:rPr>
          <w:rFonts w:hint="eastAsia" w:ascii="仿宋" w:hAnsi="仿宋" w:eastAsia="仿宋" w:cs="仿宋"/>
          <w:b w:val="0"/>
          <w:bCs w:val="0"/>
          <w:sz w:val="28"/>
          <w:szCs w:val="28"/>
        </w:rPr>
        <w:t>旅游职业教育集团牵头成立高职“国际导游英才班”项目目前招收两届共计88人，邀请集团内10位高级导游员师资团队参与《模拟导游》授课</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集团秘书处组织开展“名师名导进课堂”“企业家大讲坛”系列活动共计29场；2018年5月，召开中高职衔接人才培养方案研讨会，与六所集团内中职院校携手推行“3+2”中高职课程衔接学历贯通培养模式；2019年承办江西省研学导师培训共计四期，培训学员200人；组织师生连续两年服务江西省旅游产业发展大会。对集团单位大觉山景区规划献计献策，与乐安县县政府签订战略合作协议就当地旅游资源开发开展深度合作；连续三年举办集团专场供需见面会活动，参会单位每年不低于15家，提供岗位不少于300个</w:t>
      </w:r>
      <w:r>
        <w:rPr>
          <w:rFonts w:hint="eastAsia" w:ascii="仿宋" w:hAnsi="仿宋" w:eastAsia="仿宋" w:cs="仿宋"/>
          <w:b w:val="0"/>
          <w:bCs w:val="0"/>
          <w:sz w:val="28"/>
          <w:szCs w:val="28"/>
          <w:lang w:eastAsia="zh-CN"/>
        </w:rPr>
        <w:t>，</w:t>
      </w:r>
      <w:r>
        <w:rPr>
          <w:rFonts w:hint="eastAsia" w:ascii="仿宋" w:hAnsi="仿宋" w:eastAsia="仿宋" w:cs="仿宋"/>
          <w:b w:val="0"/>
          <w:bCs w:val="0"/>
          <w:kern w:val="2"/>
          <w:sz w:val="28"/>
          <w:szCs w:val="28"/>
          <w:lang w:val="en-US" w:eastAsia="zh-CN" w:bidi="ar-SA"/>
        </w:rPr>
        <w:t>2020年江西旅游职业教育集团获批为江西省骨干职教集团和国家第一批示范性职业教育集团（联盟）。</w:t>
      </w:r>
    </w:p>
    <w:p>
      <w:pPr>
        <w:pStyle w:val="53"/>
        <w:keepNext w:val="0"/>
        <w:keepLines w:val="0"/>
        <w:pageBreakBefore w:val="0"/>
        <w:kinsoku/>
        <w:overflowPunct/>
        <w:topLinePunct w:val="0"/>
        <w:autoSpaceDE/>
        <w:autoSpaceDN/>
        <w:bidi w:val="0"/>
        <w:adjustRightInd/>
        <w:snapToGrid/>
        <w:spacing w:line="240" w:lineRule="auto"/>
        <w:ind w:firstLine="560" w:firstLineChars="200"/>
        <w:rPr>
          <w:rFonts w:hint="eastAsia" w:ascii="仿宋" w:hAnsi="仿宋" w:eastAsia="仿宋" w:cs="仿宋"/>
          <w:b/>
          <w:kern w:val="0"/>
          <w:sz w:val="28"/>
          <w:szCs w:val="28"/>
          <w:lang w:eastAsia="zh-CN"/>
        </w:rPr>
      </w:pPr>
      <w:r>
        <w:rPr>
          <w:rFonts w:hint="eastAsia" w:ascii="仿宋" w:hAnsi="仿宋" w:eastAsia="仿宋" w:cs="仿宋"/>
          <w:b w:val="0"/>
          <w:bCs w:val="0"/>
          <w:sz w:val="28"/>
          <w:szCs w:val="28"/>
        </w:rPr>
        <w:t>江西供销职业教育集团组织开展“企业家进课堂”“企业家大讲坛”系列活动共计18场</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校企合作开展《江西省冷链物流产业发展与项目规划研究》等横向课题，并形成了《江西省冷链物流服务乡村振兴实施计划认证报告》，为供销企业行业发展提供智力保障</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连续两年11月举行集团成员单位专场招聘会，共为学校200余位学生解决就业问题</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实训基地、创业就业、精准扶贫等方面已经取得一定成效。在振兴农村发展，推进江西省冷链物流建设方面，江西供销智库做出了系列活动，并形成具有可行性的江西省冷链物流服务乡村振兴实施计划认证报告，为江西省供销行业发展起到服务作用。</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表</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 xml:space="preserve"> 学校服务区域经济与贡献表</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jc w:val="left"/>
        <w:textAlignment w:val="auto"/>
        <w:outlineLvl w:val="0"/>
        <w:rPr>
          <w:rFonts w:hint="eastAsia" w:ascii="仿宋" w:hAnsi="仿宋" w:eastAsia="仿宋" w:cs="仿宋"/>
          <w:b/>
          <w:bCs/>
          <w:sz w:val="28"/>
          <w:szCs w:val="28"/>
          <w:lang w:eastAsia="zh-CN"/>
        </w:rPr>
      </w:pPr>
      <w:bookmarkStart w:id="19" w:name="_Toc2660"/>
      <w:r>
        <w:rPr>
          <w:rFonts w:hint="eastAsia" w:ascii="仿宋" w:hAnsi="仿宋" w:eastAsia="仿宋" w:cs="仿宋"/>
          <w:sz w:val="28"/>
          <w:szCs w:val="28"/>
        </w:rPr>
        <w:drawing>
          <wp:anchor distT="0" distB="0" distL="114300" distR="114300" simplePos="0" relativeHeight="251663360" behindDoc="0" locked="0" layoutInCell="1" allowOverlap="1">
            <wp:simplePos x="0" y="0"/>
            <wp:positionH relativeFrom="column">
              <wp:posOffset>57150</wp:posOffset>
            </wp:positionH>
            <wp:positionV relativeFrom="paragraph">
              <wp:posOffset>27940</wp:posOffset>
            </wp:positionV>
            <wp:extent cx="5201285" cy="5038725"/>
            <wp:effectExtent l="0" t="0" r="18415"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201285" cy="5038725"/>
                    </a:xfrm>
                    <a:prstGeom prst="rect">
                      <a:avLst/>
                    </a:prstGeom>
                    <a:noFill/>
                    <a:ln>
                      <a:noFill/>
                    </a:ln>
                  </pic:spPr>
                </pic:pic>
              </a:graphicData>
            </a:graphic>
          </wp:anchor>
        </w:drawing>
      </w:r>
      <w:r>
        <w:rPr>
          <w:rFonts w:hint="eastAsia" w:ascii="仿宋" w:hAnsi="仿宋" w:eastAsia="仿宋" w:cs="仿宋"/>
          <w:b/>
          <w:bCs/>
          <w:sz w:val="28"/>
          <w:szCs w:val="28"/>
        </w:rPr>
        <w:t>四、存在的主要问题和</w:t>
      </w:r>
      <w:r>
        <w:rPr>
          <w:rFonts w:hint="eastAsia" w:ascii="仿宋" w:hAnsi="仿宋" w:eastAsia="仿宋" w:cs="仿宋"/>
          <w:b/>
          <w:bCs/>
          <w:sz w:val="28"/>
          <w:szCs w:val="28"/>
          <w:lang w:eastAsia="zh-CN"/>
        </w:rPr>
        <w:t>发展举措</w:t>
      </w:r>
      <w:bookmarkEnd w:id="19"/>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在新的历史时期，学校面临更加激烈的竞争和更加严峻的挑战，如：师资队伍的提升、校企融合的深度、社会服务的能力还存在短板</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需加快提升等等。</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textAlignment w:val="auto"/>
        <w:outlineLvl w:val="1"/>
        <w:rPr>
          <w:rFonts w:hint="eastAsia" w:ascii="仿宋" w:hAnsi="仿宋" w:eastAsia="仿宋" w:cs="仿宋"/>
          <w:b w:val="0"/>
          <w:bCs w:val="0"/>
          <w:sz w:val="28"/>
          <w:szCs w:val="28"/>
          <w:lang w:val="en-US" w:eastAsia="zh-CN"/>
        </w:rPr>
      </w:pPr>
      <w:bookmarkStart w:id="20" w:name="_Toc25430"/>
      <w:r>
        <w:rPr>
          <w:rFonts w:hint="eastAsia" w:ascii="仿宋" w:hAnsi="仿宋" w:eastAsia="仿宋" w:cs="仿宋"/>
          <w:b w:val="0"/>
          <w:bCs w:val="0"/>
          <w:sz w:val="28"/>
          <w:szCs w:val="28"/>
          <w:lang w:val="en-US" w:eastAsia="zh-CN"/>
        </w:rPr>
        <w:t>（一）探索路径，深化产教融合、校企合作</w:t>
      </w:r>
      <w:bookmarkEnd w:id="20"/>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要立足服务区域经济发展，重点服务中小微企业，主动走出去找合作伙伴，在人才培养、技术创新、就业创业、社会服务、文化传承、国际交流等方面广泛开展合作，共同推动江西经济高质量发展。要积极探索“3+3”校企合作路径，要跟跑企业发展，将现行的生产流程、工艺、设备平移或复制到教学中，鼓励教师走进企业、走进生产经营一线、与企业技术人员合作解决生产经营中的实际问题，开发新产品、新模式，推进技术成果转化，提高教师应用技术、创新营销模式等研发能力。</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textAlignment w:val="auto"/>
        <w:outlineLvl w:val="1"/>
        <w:rPr>
          <w:rFonts w:hint="eastAsia" w:ascii="仿宋" w:hAnsi="仿宋" w:eastAsia="仿宋" w:cs="仿宋"/>
          <w:b w:val="0"/>
          <w:bCs w:val="0"/>
          <w:sz w:val="28"/>
          <w:szCs w:val="28"/>
          <w:lang w:val="en-US" w:eastAsia="zh-CN"/>
        </w:rPr>
      </w:pPr>
      <w:bookmarkStart w:id="21" w:name="_Toc3904"/>
      <w:r>
        <w:rPr>
          <w:rFonts w:hint="eastAsia" w:ascii="仿宋" w:hAnsi="仿宋" w:eastAsia="仿宋" w:cs="仿宋"/>
          <w:b w:val="0"/>
          <w:bCs w:val="0"/>
          <w:sz w:val="28"/>
          <w:szCs w:val="28"/>
          <w:lang w:val="en-US" w:eastAsia="zh-CN"/>
        </w:rPr>
        <w:t>（二）厚植内涵，推进“三教”改革</w:t>
      </w:r>
      <w:bookmarkEnd w:id="21"/>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要大力推进教师改革。要成立教师发展中心，实施教师素质提高计划，按照“四有好老师”要求、加强师德师风建设；按照《深化新时代职业教育“双师型”队伍建设改革实施方案》要求，坚持“双师型”教师个体成长与“双师型”教学团队建设相结合，大力提升“双师型”教师队伍建设水平。二要大力推进教材改革。以课程建设为统领，鼓励编制、使用新型活页式、工作手册式教材，配套开发信息化资源、案例和教学项目，建立动态化、立体化的教材和教学资源体系，做到专业教材内容跟随信息技术发展和产业升级情况及时调整更新。三要大力推进教法改革。以课堂教学模式改革为核心，导入培训课程模块化要求，深化项目化课程改革，探索“项目+证书+信息化+培训”的课程教学实践路径，实现学历教育与社会培训融合，提高课堂教学质量。</w:t>
      </w:r>
    </w:p>
    <w:p>
      <w:pPr>
        <w:keepNext w:val="0"/>
        <w:keepLines w:val="0"/>
        <w:pageBreakBefore w:val="0"/>
        <w:widowControl/>
        <w:kinsoku/>
        <w:wordWrap/>
        <w:overflowPunct/>
        <w:topLinePunct w:val="0"/>
        <w:autoSpaceDE/>
        <w:autoSpaceDN/>
        <w:bidi w:val="0"/>
        <w:adjustRightInd/>
        <w:snapToGrid/>
        <w:spacing w:line="240" w:lineRule="auto"/>
        <w:ind w:right="0" w:rightChars="0" w:firstLine="560" w:firstLineChars="200"/>
        <w:textAlignment w:val="auto"/>
        <w:outlineLvl w:val="1"/>
        <w:rPr>
          <w:rFonts w:hint="eastAsia" w:ascii="仿宋" w:hAnsi="仿宋" w:eastAsia="仿宋" w:cs="仿宋"/>
          <w:b w:val="0"/>
          <w:bCs w:val="0"/>
          <w:sz w:val="28"/>
          <w:szCs w:val="28"/>
          <w:lang w:val="en-US" w:eastAsia="zh-CN"/>
        </w:rPr>
      </w:pPr>
      <w:bookmarkStart w:id="22" w:name="_Toc19061"/>
      <w:r>
        <w:rPr>
          <w:rFonts w:hint="eastAsia" w:ascii="仿宋" w:hAnsi="仿宋" w:eastAsia="仿宋" w:cs="仿宋"/>
          <w:b w:val="0"/>
          <w:bCs w:val="0"/>
          <w:sz w:val="28"/>
          <w:szCs w:val="28"/>
          <w:lang w:val="en-US" w:eastAsia="zh-CN"/>
        </w:rPr>
        <w:t>（三）对接需求，打响社会服务品牌</w:t>
      </w:r>
      <w:bookmarkEnd w:id="22"/>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要大力开展产学研合作，为企业提供智力服务。主动与企业共建科技攻关协同创新平台、品牌智库平台、应用技术服务平台、创新创业平台等，共同研究发展规划、营销模式、生产流程再造、技术转型升级、新产品等，不断提高服务企业水平，提升教师“双师”水平，培养学生的创新精神和创业能力。二要育训并重，大力发展社会培训。在现代职业教育与培训体系中，不仅强调学历教育，也注重终身教育。社会培训是我们的短板，我们要充分发挥培训中心和继续教育中心职能，在非学历教育方面探索以培训为中心，对接培训需求设置新专业，围绕企业需求设计人才培养方案和课程体系，为企业培养技术骨干。要认真落实省人社厅、省财政厅《关于印发&lt;江西省就业补助资金职业培训补贴管理办法&gt;的通知》（赣人社发〔2019〕3号）要求，积极参与江西省就业技能培训、企业职工岗位技能培训、创业培训、高校毕业生基层成长培训、项目制培训等项目。</w:t>
      </w: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p>
    <w:p>
      <w:pPr>
        <w:keepNext w:val="0"/>
        <w:keepLines w:val="0"/>
        <w:pageBreakBefore w:val="0"/>
        <w:widowControl/>
        <w:kinsoku/>
        <w:overflowPunct/>
        <w:topLinePunct w:val="0"/>
        <w:autoSpaceDE/>
        <w:autoSpaceDN/>
        <w:bidi w:val="0"/>
        <w:adjustRightInd/>
        <w:snapToGrid/>
        <w:spacing w:line="240" w:lineRule="auto"/>
        <w:ind w:right="0" w:rightChars="0" w:firstLine="560" w:firstLineChars="200"/>
        <w:textAlignment w:val="auto"/>
        <w:rPr>
          <w:rFonts w:hint="eastAsia" w:ascii="仿宋" w:hAnsi="仿宋" w:eastAsia="仿宋" w:cs="仿宋"/>
          <w:b w:val="0"/>
          <w:bCs w:val="0"/>
          <w:sz w:val="28"/>
          <w:szCs w:val="28"/>
        </w:rPr>
      </w:pPr>
    </w:p>
    <w:p>
      <w:pPr>
        <w:keepNext w:val="0"/>
        <w:keepLines w:val="0"/>
        <w:pageBreakBefore w:val="0"/>
        <w:widowControl/>
        <w:kinsoku/>
        <w:wordWrap w:val="0"/>
        <w:overflowPunct/>
        <w:topLinePunct w:val="0"/>
        <w:autoSpaceDE/>
        <w:autoSpaceDN/>
        <w:bidi w:val="0"/>
        <w:adjustRightInd/>
        <w:snapToGrid/>
        <w:spacing w:line="240" w:lineRule="auto"/>
        <w:ind w:right="0" w:rightChars="0" w:firstLine="560" w:firstLineChars="200"/>
        <w:jc w:val="righ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江西旅游商贸职业学院 </w:t>
      </w:r>
    </w:p>
    <w:p>
      <w:pPr>
        <w:keepNext w:val="0"/>
        <w:keepLines w:val="0"/>
        <w:pageBreakBefore w:val="0"/>
        <w:widowControl/>
        <w:kinsoku/>
        <w:wordWrap w:val="0"/>
        <w:overflowPunct/>
        <w:topLinePunct w:val="0"/>
        <w:autoSpaceDE/>
        <w:autoSpaceDN/>
        <w:bidi w:val="0"/>
        <w:adjustRightInd/>
        <w:snapToGrid/>
        <w:spacing w:line="240" w:lineRule="auto"/>
        <w:ind w:right="0" w:rightChars="0" w:firstLine="560" w:firstLineChars="200"/>
        <w:jc w:val="righ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二〇二〇年</w:t>
      </w:r>
      <w:r>
        <w:rPr>
          <w:rFonts w:hint="eastAsia" w:ascii="仿宋" w:hAnsi="仿宋" w:eastAsia="仿宋" w:cs="仿宋"/>
          <w:b w:val="0"/>
          <w:bCs w:val="0"/>
          <w:sz w:val="28"/>
          <w:szCs w:val="28"/>
          <w:lang w:eastAsia="zh-CN"/>
        </w:rPr>
        <w:t>九</w:t>
      </w:r>
      <w:r>
        <w:rPr>
          <w:rFonts w:hint="eastAsia" w:ascii="仿宋" w:hAnsi="仿宋" w:eastAsia="仿宋" w:cs="仿宋"/>
          <w:b w:val="0"/>
          <w:bCs w:val="0"/>
          <w:sz w:val="28"/>
          <w:szCs w:val="28"/>
        </w:rPr>
        <w:t xml:space="preserve">月   </w:t>
      </w:r>
    </w:p>
    <w:p>
      <w:pPr>
        <w:keepNext w:val="0"/>
        <w:keepLines w:val="0"/>
        <w:pageBreakBefore w:val="0"/>
        <w:widowControl/>
        <w:kinsoku/>
        <w:wordWrap w:val="0"/>
        <w:overflowPunct/>
        <w:topLinePunct w:val="0"/>
        <w:autoSpaceDE/>
        <w:autoSpaceDN/>
        <w:bidi w:val="0"/>
        <w:adjustRightInd/>
        <w:snapToGrid/>
        <w:spacing w:line="520" w:lineRule="exact"/>
        <w:ind w:right="0" w:rightChars="0" w:firstLine="640" w:firstLineChars="200"/>
        <w:jc w:val="right"/>
        <w:textAlignment w:val="auto"/>
        <w:rPr>
          <w:rFonts w:hint="eastAsia" w:ascii="仿宋" w:hAnsi="仿宋" w:eastAsia="仿宋" w:cs="仿宋"/>
          <w:b w:val="0"/>
          <w:bCs w:val="0"/>
          <w:sz w:val="32"/>
          <w:szCs w:val="32"/>
        </w:rPr>
      </w:pPr>
    </w:p>
    <w:p>
      <w:pPr>
        <w:keepNext w:val="0"/>
        <w:keepLines w:val="0"/>
        <w:pageBreakBefore w:val="0"/>
        <w:widowControl/>
        <w:kinsoku/>
        <w:wordWrap w:val="0"/>
        <w:overflowPunct/>
        <w:topLinePunct w:val="0"/>
        <w:autoSpaceDE/>
        <w:autoSpaceDN/>
        <w:bidi w:val="0"/>
        <w:adjustRightInd/>
        <w:snapToGrid/>
        <w:spacing w:line="520" w:lineRule="exact"/>
        <w:ind w:right="0" w:rightChars="0" w:firstLine="640" w:firstLineChars="200"/>
        <w:jc w:val="right"/>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right="0" w:rightChars="0" w:firstLine="643" w:firstLineChars="200"/>
        <w:jc w:val="left"/>
        <w:textAlignment w:val="auto"/>
        <w:rPr>
          <w:rFonts w:hint="eastAsia" w:ascii="仿宋" w:hAnsi="仿宋" w:eastAsia="仿宋" w:cs="仿宋"/>
          <w:b/>
          <w:bCs/>
          <w:sz w:val="32"/>
          <w:szCs w:val="32"/>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28"/>
        <w:szCs w:val="28"/>
      </w:rPr>
      <w:fldChar w:fldCharType="begin"/>
    </w:r>
    <w:r>
      <w:rPr>
        <w:sz w:val="28"/>
        <w:szCs w:val="28"/>
      </w:rPr>
      <w:instrText xml:space="preserve">PAGE   \* MERGEFORMAT</w:instrText>
    </w:r>
    <w:r>
      <w:rPr>
        <w:sz w:val="28"/>
        <w:szCs w:val="28"/>
      </w:rPr>
      <w:fldChar w:fldCharType="separate"/>
    </w:r>
    <w:r>
      <w:t>- 8 -</w:t>
    </w:r>
    <w:r>
      <w:rPr>
        <w:sz w:val="28"/>
        <w:szCs w:val="28"/>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85"/>
    <w:rsid w:val="000369C3"/>
    <w:rsid w:val="000B5CB1"/>
    <w:rsid w:val="000F11F5"/>
    <w:rsid w:val="000F78A8"/>
    <w:rsid w:val="00104EE1"/>
    <w:rsid w:val="00107B01"/>
    <w:rsid w:val="00123F15"/>
    <w:rsid w:val="00126C22"/>
    <w:rsid w:val="001C2061"/>
    <w:rsid w:val="001D2409"/>
    <w:rsid w:val="00200B7F"/>
    <w:rsid w:val="00235F40"/>
    <w:rsid w:val="00277DE4"/>
    <w:rsid w:val="002A06C4"/>
    <w:rsid w:val="002F1635"/>
    <w:rsid w:val="002F17BE"/>
    <w:rsid w:val="00301A09"/>
    <w:rsid w:val="00325B94"/>
    <w:rsid w:val="003858FF"/>
    <w:rsid w:val="0039777F"/>
    <w:rsid w:val="003E2B15"/>
    <w:rsid w:val="00405285"/>
    <w:rsid w:val="00421E75"/>
    <w:rsid w:val="0047413B"/>
    <w:rsid w:val="00491B8D"/>
    <w:rsid w:val="004E4699"/>
    <w:rsid w:val="004F5137"/>
    <w:rsid w:val="00541185"/>
    <w:rsid w:val="0057594A"/>
    <w:rsid w:val="00582A85"/>
    <w:rsid w:val="005B7B3D"/>
    <w:rsid w:val="005D07E5"/>
    <w:rsid w:val="005F141A"/>
    <w:rsid w:val="005F7C28"/>
    <w:rsid w:val="00600484"/>
    <w:rsid w:val="00651892"/>
    <w:rsid w:val="00671700"/>
    <w:rsid w:val="00696856"/>
    <w:rsid w:val="006A0A93"/>
    <w:rsid w:val="006B78F0"/>
    <w:rsid w:val="006C3662"/>
    <w:rsid w:val="00701DCC"/>
    <w:rsid w:val="007473D4"/>
    <w:rsid w:val="0076044A"/>
    <w:rsid w:val="0078443F"/>
    <w:rsid w:val="007B3CB2"/>
    <w:rsid w:val="007D008B"/>
    <w:rsid w:val="007D424D"/>
    <w:rsid w:val="007E05C7"/>
    <w:rsid w:val="00801BDD"/>
    <w:rsid w:val="00805889"/>
    <w:rsid w:val="008072B6"/>
    <w:rsid w:val="008277B7"/>
    <w:rsid w:val="00843A2E"/>
    <w:rsid w:val="008A1F96"/>
    <w:rsid w:val="00912325"/>
    <w:rsid w:val="009165D1"/>
    <w:rsid w:val="00921E01"/>
    <w:rsid w:val="009625D9"/>
    <w:rsid w:val="009919EA"/>
    <w:rsid w:val="009D7F10"/>
    <w:rsid w:val="009E6E8B"/>
    <w:rsid w:val="009F688D"/>
    <w:rsid w:val="00A159D7"/>
    <w:rsid w:val="00A2593A"/>
    <w:rsid w:val="00A307ED"/>
    <w:rsid w:val="00A47621"/>
    <w:rsid w:val="00A72179"/>
    <w:rsid w:val="00A82FD8"/>
    <w:rsid w:val="00AB7157"/>
    <w:rsid w:val="00AD0296"/>
    <w:rsid w:val="00B321EA"/>
    <w:rsid w:val="00B3503D"/>
    <w:rsid w:val="00B42591"/>
    <w:rsid w:val="00B42F66"/>
    <w:rsid w:val="00B63027"/>
    <w:rsid w:val="00BD203E"/>
    <w:rsid w:val="00BD6A71"/>
    <w:rsid w:val="00BE77BF"/>
    <w:rsid w:val="00C022B6"/>
    <w:rsid w:val="00C22FD3"/>
    <w:rsid w:val="00C32A90"/>
    <w:rsid w:val="00C620D8"/>
    <w:rsid w:val="00C766E2"/>
    <w:rsid w:val="00C81AB9"/>
    <w:rsid w:val="00CC7EFB"/>
    <w:rsid w:val="00CE010F"/>
    <w:rsid w:val="00D00260"/>
    <w:rsid w:val="00D01530"/>
    <w:rsid w:val="00D132D2"/>
    <w:rsid w:val="00D334DA"/>
    <w:rsid w:val="00D70588"/>
    <w:rsid w:val="00D86F7A"/>
    <w:rsid w:val="00DC39D7"/>
    <w:rsid w:val="00DE3F90"/>
    <w:rsid w:val="00E01938"/>
    <w:rsid w:val="00E11178"/>
    <w:rsid w:val="00E134A2"/>
    <w:rsid w:val="00E71999"/>
    <w:rsid w:val="00E929C9"/>
    <w:rsid w:val="00F031CC"/>
    <w:rsid w:val="00F46EA5"/>
    <w:rsid w:val="00F8460C"/>
    <w:rsid w:val="00FA5B5C"/>
    <w:rsid w:val="00FD238C"/>
    <w:rsid w:val="00FD3D09"/>
    <w:rsid w:val="00FD6A69"/>
    <w:rsid w:val="00FE3A67"/>
    <w:rsid w:val="02213995"/>
    <w:rsid w:val="02F9128E"/>
    <w:rsid w:val="030033B5"/>
    <w:rsid w:val="033A1297"/>
    <w:rsid w:val="03FA3DA5"/>
    <w:rsid w:val="04C72EC2"/>
    <w:rsid w:val="062A067F"/>
    <w:rsid w:val="06383E8B"/>
    <w:rsid w:val="06826DA3"/>
    <w:rsid w:val="06905799"/>
    <w:rsid w:val="06CB1CCA"/>
    <w:rsid w:val="07203544"/>
    <w:rsid w:val="072879D8"/>
    <w:rsid w:val="076A55EB"/>
    <w:rsid w:val="079620F9"/>
    <w:rsid w:val="07A82E97"/>
    <w:rsid w:val="07F07104"/>
    <w:rsid w:val="08246A68"/>
    <w:rsid w:val="08950502"/>
    <w:rsid w:val="09CB6731"/>
    <w:rsid w:val="09E974B4"/>
    <w:rsid w:val="0A3D6D83"/>
    <w:rsid w:val="0B227803"/>
    <w:rsid w:val="0B3C4604"/>
    <w:rsid w:val="0B45177B"/>
    <w:rsid w:val="0B7C3774"/>
    <w:rsid w:val="0C154D33"/>
    <w:rsid w:val="0C214628"/>
    <w:rsid w:val="0C606407"/>
    <w:rsid w:val="0C70188F"/>
    <w:rsid w:val="0CB33395"/>
    <w:rsid w:val="0CE87B13"/>
    <w:rsid w:val="0EB93A19"/>
    <w:rsid w:val="0F2F0B43"/>
    <w:rsid w:val="0F8D17D9"/>
    <w:rsid w:val="103A6F00"/>
    <w:rsid w:val="10AC4C04"/>
    <w:rsid w:val="10BC2674"/>
    <w:rsid w:val="111F4DE0"/>
    <w:rsid w:val="12551264"/>
    <w:rsid w:val="13156B2E"/>
    <w:rsid w:val="138D4A0E"/>
    <w:rsid w:val="13D52459"/>
    <w:rsid w:val="13ED5BAD"/>
    <w:rsid w:val="150D61B9"/>
    <w:rsid w:val="15526F71"/>
    <w:rsid w:val="16710364"/>
    <w:rsid w:val="18981A40"/>
    <w:rsid w:val="19E073D9"/>
    <w:rsid w:val="19E44F73"/>
    <w:rsid w:val="1A6035D9"/>
    <w:rsid w:val="1AAC0C85"/>
    <w:rsid w:val="1C3E2D1E"/>
    <w:rsid w:val="1C9B09D0"/>
    <w:rsid w:val="1E442141"/>
    <w:rsid w:val="1EC1396C"/>
    <w:rsid w:val="1ED6178C"/>
    <w:rsid w:val="1F625D79"/>
    <w:rsid w:val="1FF205A8"/>
    <w:rsid w:val="20A12DFE"/>
    <w:rsid w:val="215A6983"/>
    <w:rsid w:val="21B36B3F"/>
    <w:rsid w:val="21D37EAE"/>
    <w:rsid w:val="21D87DBA"/>
    <w:rsid w:val="22245AC3"/>
    <w:rsid w:val="22EC44EC"/>
    <w:rsid w:val="232E71F0"/>
    <w:rsid w:val="233A3B43"/>
    <w:rsid w:val="2375466B"/>
    <w:rsid w:val="23CD2FA8"/>
    <w:rsid w:val="24102B4D"/>
    <w:rsid w:val="24773F3E"/>
    <w:rsid w:val="24AB2440"/>
    <w:rsid w:val="24CA05D9"/>
    <w:rsid w:val="24FA3864"/>
    <w:rsid w:val="24FA38B9"/>
    <w:rsid w:val="2536335D"/>
    <w:rsid w:val="25523559"/>
    <w:rsid w:val="2615766A"/>
    <w:rsid w:val="27EA0412"/>
    <w:rsid w:val="27ED3A40"/>
    <w:rsid w:val="288047B8"/>
    <w:rsid w:val="288F7849"/>
    <w:rsid w:val="28DB04D3"/>
    <w:rsid w:val="298E6CC2"/>
    <w:rsid w:val="29D90CA6"/>
    <w:rsid w:val="2A31183E"/>
    <w:rsid w:val="2A3F1333"/>
    <w:rsid w:val="2AEA1943"/>
    <w:rsid w:val="2AF43912"/>
    <w:rsid w:val="2B7D3B57"/>
    <w:rsid w:val="2BE66C60"/>
    <w:rsid w:val="2C567D8F"/>
    <w:rsid w:val="2CEA099B"/>
    <w:rsid w:val="2D1D303C"/>
    <w:rsid w:val="2DC27B01"/>
    <w:rsid w:val="2E4A284C"/>
    <w:rsid w:val="2E643829"/>
    <w:rsid w:val="2EBF139A"/>
    <w:rsid w:val="307969E8"/>
    <w:rsid w:val="315E0966"/>
    <w:rsid w:val="31F74E11"/>
    <w:rsid w:val="32813835"/>
    <w:rsid w:val="332D4867"/>
    <w:rsid w:val="336409D4"/>
    <w:rsid w:val="34F5206D"/>
    <w:rsid w:val="359C7620"/>
    <w:rsid w:val="360E2883"/>
    <w:rsid w:val="372C3015"/>
    <w:rsid w:val="37A11D1D"/>
    <w:rsid w:val="37DF1DFF"/>
    <w:rsid w:val="3836348D"/>
    <w:rsid w:val="38B003B3"/>
    <w:rsid w:val="38E9389A"/>
    <w:rsid w:val="39187E21"/>
    <w:rsid w:val="39451E4C"/>
    <w:rsid w:val="3A055C81"/>
    <w:rsid w:val="3A8768C0"/>
    <w:rsid w:val="3AF3442A"/>
    <w:rsid w:val="3BCE2244"/>
    <w:rsid w:val="3BEB4C5F"/>
    <w:rsid w:val="3C906014"/>
    <w:rsid w:val="3CB57257"/>
    <w:rsid w:val="3CCE74E9"/>
    <w:rsid w:val="3DC07C05"/>
    <w:rsid w:val="3DFA48A9"/>
    <w:rsid w:val="3E3765BA"/>
    <w:rsid w:val="3E461F9A"/>
    <w:rsid w:val="3ECE5120"/>
    <w:rsid w:val="3ED40D09"/>
    <w:rsid w:val="3EDE58AF"/>
    <w:rsid w:val="3EEE137F"/>
    <w:rsid w:val="3F61134E"/>
    <w:rsid w:val="3F830E40"/>
    <w:rsid w:val="400E2301"/>
    <w:rsid w:val="40E02C9A"/>
    <w:rsid w:val="41624571"/>
    <w:rsid w:val="41993663"/>
    <w:rsid w:val="429C1B62"/>
    <w:rsid w:val="42EF6AA0"/>
    <w:rsid w:val="43292EC6"/>
    <w:rsid w:val="43682572"/>
    <w:rsid w:val="43D33F3E"/>
    <w:rsid w:val="43F173C6"/>
    <w:rsid w:val="444836E5"/>
    <w:rsid w:val="44AF2C4A"/>
    <w:rsid w:val="457B5AFE"/>
    <w:rsid w:val="45922AAB"/>
    <w:rsid w:val="45F64BD8"/>
    <w:rsid w:val="46215946"/>
    <w:rsid w:val="46343714"/>
    <w:rsid w:val="46F023E2"/>
    <w:rsid w:val="47A405D4"/>
    <w:rsid w:val="48987E41"/>
    <w:rsid w:val="48A31C72"/>
    <w:rsid w:val="4901168F"/>
    <w:rsid w:val="4B091AAB"/>
    <w:rsid w:val="4C493545"/>
    <w:rsid w:val="4C932673"/>
    <w:rsid w:val="4CD77419"/>
    <w:rsid w:val="4E1E2615"/>
    <w:rsid w:val="4F4869B9"/>
    <w:rsid w:val="4F6B530D"/>
    <w:rsid w:val="4F714EC8"/>
    <w:rsid w:val="4FC739D0"/>
    <w:rsid w:val="500928EC"/>
    <w:rsid w:val="50ED7442"/>
    <w:rsid w:val="51055174"/>
    <w:rsid w:val="51D8675C"/>
    <w:rsid w:val="51E7765C"/>
    <w:rsid w:val="51EB6F80"/>
    <w:rsid w:val="52162B94"/>
    <w:rsid w:val="52674981"/>
    <w:rsid w:val="52CD31E4"/>
    <w:rsid w:val="53154F95"/>
    <w:rsid w:val="53222E96"/>
    <w:rsid w:val="53AE38E2"/>
    <w:rsid w:val="53B96CA9"/>
    <w:rsid w:val="53DA6DFC"/>
    <w:rsid w:val="54854DAD"/>
    <w:rsid w:val="550D7C68"/>
    <w:rsid w:val="56030D70"/>
    <w:rsid w:val="56D04A03"/>
    <w:rsid w:val="56DB0678"/>
    <w:rsid w:val="58580C42"/>
    <w:rsid w:val="594409CB"/>
    <w:rsid w:val="5993077B"/>
    <w:rsid w:val="5A423CD8"/>
    <w:rsid w:val="5A4C6E98"/>
    <w:rsid w:val="5A987061"/>
    <w:rsid w:val="5AA83FE3"/>
    <w:rsid w:val="5AE80A20"/>
    <w:rsid w:val="5B226561"/>
    <w:rsid w:val="5B9F0CCC"/>
    <w:rsid w:val="5C7062B6"/>
    <w:rsid w:val="5C9345F5"/>
    <w:rsid w:val="5CF716FD"/>
    <w:rsid w:val="5DD26864"/>
    <w:rsid w:val="5E512D5F"/>
    <w:rsid w:val="5FB610D5"/>
    <w:rsid w:val="60552569"/>
    <w:rsid w:val="6064259A"/>
    <w:rsid w:val="629255A5"/>
    <w:rsid w:val="62F86621"/>
    <w:rsid w:val="652775A7"/>
    <w:rsid w:val="65C37568"/>
    <w:rsid w:val="67C954F5"/>
    <w:rsid w:val="684F146E"/>
    <w:rsid w:val="68E25EAF"/>
    <w:rsid w:val="69F12A9B"/>
    <w:rsid w:val="6A013AAD"/>
    <w:rsid w:val="6A526236"/>
    <w:rsid w:val="6AD43785"/>
    <w:rsid w:val="6B3D34B6"/>
    <w:rsid w:val="6B507637"/>
    <w:rsid w:val="6B575009"/>
    <w:rsid w:val="6B9416B5"/>
    <w:rsid w:val="6C255A07"/>
    <w:rsid w:val="6C8446C7"/>
    <w:rsid w:val="6C874052"/>
    <w:rsid w:val="6CA516DD"/>
    <w:rsid w:val="6D737ADD"/>
    <w:rsid w:val="6DB42103"/>
    <w:rsid w:val="6EE36E61"/>
    <w:rsid w:val="6F626B13"/>
    <w:rsid w:val="6FE903EA"/>
    <w:rsid w:val="7039411E"/>
    <w:rsid w:val="712F2EAB"/>
    <w:rsid w:val="713E385A"/>
    <w:rsid w:val="72E91BB7"/>
    <w:rsid w:val="745A5AFE"/>
    <w:rsid w:val="74750956"/>
    <w:rsid w:val="7659273C"/>
    <w:rsid w:val="76B76704"/>
    <w:rsid w:val="76FE03B7"/>
    <w:rsid w:val="77F81A70"/>
    <w:rsid w:val="783E1284"/>
    <w:rsid w:val="786C539F"/>
    <w:rsid w:val="792D1652"/>
    <w:rsid w:val="79741FBD"/>
    <w:rsid w:val="7A65580B"/>
    <w:rsid w:val="7AD16E03"/>
    <w:rsid w:val="7B463D1B"/>
    <w:rsid w:val="7B726FFD"/>
    <w:rsid w:val="7C581475"/>
    <w:rsid w:val="7CA425B5"/>
    <w:rsid w:val="7CED2DDD"/>
    <w:rsid w:val="7E3557C4"/>
    <w:rsid w:val="7F1F7380"/>
    <w:rsid w:val="7FB446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qFormat="1" w:unhideWhenUsed="0" w:uiPriority="0" w:semiHidden="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99" w:semiHidden="0" w:name="Strong"/>
    <w:lsdException w:qFormat="1" w:unhideWhenUsed="0" w:uiPriority="99" w:semiHidden="0" w:name="Emphasis"/>
    <w:lsdException w:uiPriority="0" w:name="Document Map" w:locked="1"/>
    <w:lsdException w:uiPriority="0" w:name="Plain Text" w:locked="1"/>
    <w:lsdException w:uiPriority="0" w:name="E-mail Signature" w:locked="1"/>
    <w:lsdException w:qFormat="1" w:uiPriority="99"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qFormat="1" w:unhideWhenUsed="0" w:uiPriority="9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3">
    <w:name w:val="heading 1"/>
    <w:basedOn w:val="1"/>
    <w:next w:val="1"/>
    <w:link w:val="31"/>
    <w:qFormat/>
    <w:uiPriority w:val="99"/>
    <w:pPr>
      <w:keepNext/>
      <w:spacing w:before="240" w:after="60"/>
      <w:outlineLvl w:val="0"/>
    </w:pPr>
    <w:rPr>
      <w:rFonts w:ascii="Calibri Light" w:hAnsi="Calibri Light"/>
      <w:b/>
      <w:bCs/>
      <w:kern w:val="32"/>
      <w:sz w:val="32"/>
      <w:szCs w:val="32"/>
    </w:rPr>
  </w:style>
  <w:style w:type="paragraph" w:styleId="4">
    <w:name w:val="heading 2"/>
    <w:basedOn w:val="1"/>
    <w:next w:val="1"/>
    <w:link w:val="32"/>
    <w:qFormat/>
    <w:uiPriority w:val="99"/>
    <w:pPr>
      <w:keepNext/>
      <w:spacing w:before="240" w:after="60"/>
      <w:outlineLvl w:val="1"/>
    </w:pPr>
    <w:rPr>
      <w:rFonts w:ascii="Calibri Light" w:hAnsi="Calibri Light"/>
      <w:b/>
      <w:bCs/>
      <w:i/>
      <w:iCs/>
      <w:sz w:val="28"/>
      <w:szCs w:val="28"/>
    </w:rPr>
  </w:style>
  <w:style w:type="paragraph" w:styleId="5">
    <w:name w:val="heading 3"/>
    <w:basedOn w:val="1"/>
    <w:next w:val="1"/>
    <w:link w:val="33"/>
    <w:qFormat/>
    <w:uiPriority w:val="99"/>
    <w:pPr>
      <w:keepNext/>
      <w:spacing w:before="240" w:after="60"/>
      <w:outlineLvl w:val="2"/>
    </w:pPr>
    <w:rPr>
      <w:rFonts w:ascii="Calibri Light" w:hAnsi="Calibri Light"/>
      <w:b/>
      <w:bCs/>
      <w:sz w:val="26"/>
      <w:szCs w:val="26"/>
    </w:rPr>
  </w:style>
  <w:style w:type="paragraph" w:styleId="6">
    <w:name w:val="heading 4"/>
    <w:basedOn w:val="1"/>
    <w:next w:val="1"/>
    <w:link w:val="34"/>
    <w:qFormat/>
    <w:uiPriority w:val="99"/>
    <w:pPr>
      <w:keepNext/>
      <w:spacing w:before="240" w:after="60"/>
      <w:outlineLvl w:val="3"/>
    </w:pPr>
    <w:rPr>
      <w:b/>
      <w:bCs/>
      <w:sz w:val="28"/>
      <w:szCs w:val="28"/>
    </w:rPr>
  </w:style>
  <w:style w:type="paragraph" w:styleId="7">
    <w:name w:val="heading 5"/>
    <w:basedOn w:val="1"/>
    <w:next w:val="1"/>
    <w:link w:val="35"/>
    <w:qFormat/>
    <w:uiPriority w:val="99"/>
    <w:pPr>
      <w:spacing w:before="240" w:after="60"/>
      <w:outlineLvl w:val="4"/>
    </w:pPr>
    <w:rPr>
      <w:b/>
      <w:bCs/>
      <w:i/>
      <w:iCs/>
      <w:sz w:val="26"/>
      <w:szCs w:val="26"/>
    </w:rPr>
  </w:style>
  <w:style w:type="paragraph" w:styleId="8">
    <w:name w:val="heading 6"/>
    <w:basedOn w:val="1"/>
    <w:next w:val="1"/>
    <w:link w:val="36"/>
    <w:qFormat/>
    <w:uiPriority w:val="99"/>
    <w:pPr>
      <w:spacing w:before="240" w:after="60"/>
      <w:outlineLvl w:val="5"/>
    </w:pPr>
    <w:rPr>
      <w:b/>
      <w:bCs/>
      <w:sz w:val="22"/>
      <w:szCs w:val="22"/>
    </w:rPr>
  </w:style>
  <w:style w:type="paragraph" w:styleId="9">
    <w:name w:val="heading 7"/>
    <w:basedOn w:val="1"/>
    <w:next w:val="1"/>
    <w:link w:val="37"/>
    <w:qFormat/>
    <w:uiPriority w:val="99"/>
    <w:pPr>
      <w:spacing w:before="240" w:after="60"/>
      <w:outlineLvl w:val="6"/>
    </w:pPr>
  </w:style>
  <w:style w:type="paragraph" w:styleId="10">
    <w:name w:val="heading 8"/>
    <w:basedOn w:val="1"/>
    <w:next w:val="1"/>
    <w:link w:val="38"/>
    <w:qFormat/>
    <w:uiPriority w:val="99"/>
    <w:pPr>
      <w:spacing w:before="240" w:after="60"/>
      <w:outlineLvl w:val="7"/>
    </w:pPr>
    <w:rPr>
      <w:i/>
      <w:iCs/>
    </w:rPr>
  </w:style>
  <w:style w:type="paragraph" w:styleId="11">
    <w:name w:val="heading 9"/>
    <w:basedOn w:val="1"/>
    <w:next w:val="1"/>
    <w:link w:val="39"/>
    <w:qFormat/>
    <w:uiPriority w:val="99"/>
    <w:pPr>
      <w:spacing w:before="240" w:after="60"/>
      <w:outlineLvl w:val="8"/>
    </w:pPr>
    <w:rPr>
      <w:rFonts w:ascii="Calibri Light" w:hAnsi="Calibri Light"/>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locked/>
    <w:uiPriority w:val="0"/>
    <w:pPr>
      <w:ind w:left="420" w:leftChars="200"/>
    </w:pPr>
  </w:style>
  <w:style w:type="paragraph" w:styleId="12">
    <w:name w:val="toc 3"/>
    <w:basedOn w:val="1"/>
    <w:next w:val="1"/>
    <w:uiPriority w:val="0"/>
    <w:pPr>
      <w:ind w:left="840" w:leftChars="400"/>
    </w:pPr>
  </w:style>
  <w:style w:type="paragraph" w:styleId="13">
    <w:name w:val="footer"/>
    <w:basedOn w:val="1"/>
    <w:link w:val="51"/>
    <w:qFormat/>
    <w:uiPriority w:val="99"/>
    <w:pPr>
      <w:tabs>
        <w:tab w:val="center" w:pos="4153"/>
        <w:tab w:val="right" w:pos="8306"/>
      </w:tabs>
      <w:snapToGrid w:val="0"/>
    </w:pPr>
    <w:rPr>
      <w:sz w:val="18"/>
      <w:szCs w:val="18"/>
    </w:rPr>
  </w:style>
  <w:style w:type="paragraph" w:styleId="14">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99"/>
  </w:style>
  <w:style w:type="paragraph" w:styleId="16">
    <w:name w:val="Subtitle"/>
    <w:basedOn w:val="1"/>
    <w:next w:val="1"/>
    <w:link w:val="41"/>
    <w:qFormat/>
    <w:uiPriority w:val="99"/>
    <w:pPr>
      <w:spacing w:after="60"/>
      <w:jc w:val="center"/>
      <w:outlineLvl w:val="1"/>
    </w:pPr>
    <w:rPr>
      <w:rFonts w:ascii="Calibri Light" w:hAnsi="Calibri Light"/>
    </w:rPr>
  </w:style>
  <w:style w:type="paragraph" w:styleId="17">
    <w:name w:val="toc 2"/>
    <w:basedOn w:val="1"/>
    <w:next w:val="1"/>
    <w:qFormat/>
    <w:uiPriority w:val="99"/>
    <w:pPr>
      <w:ind w:left="420" w:leftChars="200"/>
    </w:pPr>
  </w:style>
  <w:style w:type="paragraph" w:styleId="18">
    <w:name w:val="Normal (Web)"/>
    <w:basedOn w:val="1"/>
    <w:semiHidden/>
    <w:unhideWhenUsed/>
    <w:qFormat/>
    <w:locked/>
    <w:uiPriority w:val="99"/>
    <w:pPr>
      <w:widowControl/>
      <w:spacing w:before="100" w:beforeAutospacing="1" w:after="100" w:afterAutospacing="1"/>
    </w:pPr>
    <w:rPr>
      <w:rFonts w:ascii="宋体" w:hAnsi="宋体" w:eastAsia="宋体" w:cs="宋体"/>
    </w:rPr>
  </w:style>
  <w:style w:type="paragraph" w:styleId="19">
    <w:name w:val="Title"/>
    <w:basedOn w:val="1"/>
    <w:next w:val="1"/>
    <w:link w:val="40"/>
    <w:qFormat/>
    <w:uiPriority w:val="99"/>
    <w:pPr>
      <w:spacing w:before="240" w:after="60"/>
      <w:jc w:val="center"/>
      <w:outlineLvl w:val="0"/>
    </w:pPr>
    <w:rPr>
      <w:rFonts w:ascii="Calibri Light" w:hAnsi="Calibri Light"/>
      <w:b/>
      <w:bCs/>
      <w:kern w:val="28"/>
      <w:sz w:val="32"/>
      <w:szCs w:val="32"/>
    </w:rPr>
  </w:style>
  <w:style w:type="table" w:styleId="21">
    <w:name w:val="Table Grid"/>
    <w:basedOn w:val="20"/>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cs="Times New Roman"/>
      <w:b/>
    </w:rPr>
  </w:style>
  <w:style w:type="character" w:styleId="24">
    <w:name w:val="Emphasis"/>
    <w:basedOn w:val="22"/>
    <w:qFormat/>
    <w:uiPriority w:val="99"/>
    <w:rPr>
      <w:rFonts w:ascii="Calibri" w:hAnsi="Calibri" w:cs="Times New Roman"/>
      <w:b/>
      <w:i/>
    </w:rPr>
  </w:style>
  <w:style w:type="character" w:styleId="25">
    <w:name w:val="Hyperlink"/>
    <w:basedOn w:val="22"/>
    <w:qFormat/>
    <w:uiPriority w:val="99"/>
    <w:rPr>
      <w:rFonts w:cs="Times New Roman"/>
      <w:color w:val="0563C1"/>
      <w:u w:val="single"/>
    </w:rPr>
  </w:style>
  <w:style w:type="paragraph" w:customStyle="1" w:styleId="26">
    <w:name w:val="无间隔1"/>
    <w:basedOn w:val="1"/>
    <w:qFormat/>
    <w:uiPriority w:val="99"/>
    <w:rPr>
      <w:szCs w:val="32"/>
    </w:rPr>
  </w:style>
  <w:style w:type="paragraph" w:customStyle="1" w:styleId="27">
    <w:name w:val="列出段落1"/>
    <w:basedOn w:val="1"/>
    <w:qFormat/>
    <w:uiPriority w:val="99"/>
    <w:pPr>
      <w:ind w:left="720"/>
      <w:contextualSpacing/>
    </w:pPr>
  </w:style>
  <w:style w:type="paragraph" w:customStyle="1" w:styleId="28">
    <w:name w:val="引用1"/>
    <w:basedOn w:val="1"/>
    <w:next w:val="1"/>
    <w:link w:val="42"/>
    <w:qFormat/>
    <w:uiPriority w:val="99"/>
    <w:rPr>
      <w:i/>
    </w:rPr>
  </w:style>
  <w:style w:type="paragraph" w:customStyle="1" w:styleId="29">
    <w:name w:val="明显引用1"/>
    <w:basedOn w:val="1"/>
    <w:next w:val="1"/>
    <w:link w:val="43"/>
    <w:qFormat/>
    <w:uiPriority w:val="99"/>
    <w:pPr>
      <w:ind w:left="720" w:right="720"/>
    </w:pPr>
    <w:rPr>
      <w:b/>
      <w:i/>
      <w:szCs w:val="22"/>
    </w:rPr>
  </w:style>
  <w:style w:type="paragraph" w:customStyle="1" w:styleId="30">
    <w:name w:val="TOC 标题1"/>
    <w:basedOn w:val="3"/>
    <w:next w:val="1"/>
    <w:qFormat/>
    <w:uiPriority w:val="99"/>
    <w:pPr>
      <w:outlineLvl w:val="9"/>
    </w:pPr>
  </w:style>
  <w:style w:type="character" w:customStyle="1" w:styleId="31">
    <w:name w:val="标题 1 Char"/>
    <w:basedOn w:val="22"/>
    <w:link w:val="3"/>
    <w:qFormat/>
    <w:locked/>
    <w:uiPriority w:val="99"/>
    <w:rPr>
      <w:rFonts w:ascii="Calibri Light" w:hAnsi="Calibri Light" w:eastAsia="宋体"/>
      <w:b/>
      <w:kern w:val="32"/>
      <w:sz w:val="32"/>
    </w:rPr>
  </w:style>
  <w:style w:type="character" w:customStyle="1" w:styleId="32">
    <w:name w:val="标题 2 Char"/>
    <w:basedOn w:val="22"/>
    <w:link w:val="4"/>
    <w:semiHidden/>
    <w:qFormat/>
    <w:locked/>
    <w:uiPriority w:val="99"/>
    <w:rPr>
      <w:rFonts w:ascii="Calibri Light" w:hAnsi="Calibri Light" w:eastAsia="宋体"/>
      <w:b/>
      <w:i/>
      <w:sz w:val="28"/>
    </w:rPr>
  </w:style>
  <w:style w:type="character" w:customStyle="1" w:styleId="33">
    <w:name w:val="标题 3 Char"/>
    <w:basedOn w:val="22"/>
    <w:link w:val="5"/>
    <w:semiHidden/>
    <w:qFormat/>
    <w:locked/>
    <w:uiPriority w:val="99"/>
    <w:rPr>
      <w:rFonts w:ascii="Calibri Light" w:hAnsi="Calibri Light" w:eastAsia="宋体"/>
      <w:b/>
      <w:sz w:val="26"/>
    </w:rPr>
  </w:style>
  <w:style w:type="character" w:customStyle="1" w:styleId="34">
    <w:name w:val="标题 4 Char"/>
    <w:basedOn w:val="22"/>
    <w:link w:val="6"/>
    <w:semiHidden/>
    <w:qFormat/>
    <w:locked/>
    <w:uiPriority w:val="99"/>
    <w:rPr>
      <w:b/>
      <w:sz w:val="28"/>
    </w:rPr>
  </w:style>
  <w:style w:type="character" w:customStyle="1" w:styleId="35">
    <w:name w:val="标题 5 Char"/>
    <w:basedOn w:val="22"/>
    <w:link w:val="7"/>
    <w:semiHidden/>
    <w:qFormat/>
    <w:locked/>
    <w:uiPriority w:val="99"/>
    <w:rPr>
      <w:b/>
      <w:i/>
      <w:sz w:val="26"/>
    </w:rPr>
  </w:style>
  <w:style w:type="character" w:customStyle="1" w:styleId="36">
    <w:name w:val="标题 6 Char"/>
    <w:basedOn w:val="22"/>
    <w:link w:val="8"/>
    <w:semiHidden/>
    <w:qFormat/>
    <w:locked/>
    <w:uiPriority w:val="99"/>
    <w:rPr>
      <w:b/>
    </w:rPr>
  </w:style>
  <w:style w:type="character" w:customStyle="1" w:styleId="37">
    <w:name w:val="标题 7 Char"/>
    <w:basedOn w:val="22"/>
    <w:link w:val="9"/>
    <w:semiHidden/>
    <w:qFormat/>
    <w:locked/>
    <w:uiPriority w:val="99"/>
    <w:rPr>
      <w:sz w:val="24"/>
    </w:rPr>
  </w:style>
  <w:style w:type="character" w:customStyle="1" w:styleId="38">
    <w:name w:val="标题 8 Char"/>
    <w:basedOn w:val="22"/>
    <w:link w:val="10"/>
    <w:semiHidden/>
    <w:qFormat/>
    <w:locked/>
    <w:uiPriority w:val="99"/>
    <w:rPr>
      <w:i/>
      <w:sz w:val="24"/>
    </w:rPr>
  </w:style>
  <w:style w:type="character" w:customStyle="1" w:styleId="39">
    <w:name w:val="标题 9 Char"/>
    <w:basedOn w:val="22"/>
    <w:link w:val="11"/>
    <w:semiHidden/>
    <w:qFormat/>
    <w:locked/>
    <w:uiPriority w:val="99"/>
    <w:rPr>
      <w:rFonts w:ascii="Calibri Light" w:hAnsi="Calibri Light" w:eastAsia="宋体"/>
    </w:rPr>
  </w:style>
  <w:style w:type="character" w:customStyle="1" w:styleId="40">
    <w:name w:val="标题 Char"/>
    <w:basedOn w:val="22"/>
    <w:link w:val="19"/>
    <w:qFormat/>
    <w:locked/>
    <w:uiPriority w:val="99"/>
    <w:rPr>
      <w:rFonts w:ascii="Calibri Light" w:hAnsi="Calibri Light" w:eastAsia="宋体"/>
      <w:b/>
      <w:kern w:val="28"/>
      <w:sz w:val="32"/>
    </w:rPr>
  </w:style>
  <w:style w:type="character" w:customStyle="1" w:styleId="41">
    <w:name w:val="副标题 Char"/>
    <w:basedOn w:val="22"/>
    <w:link w:val="16"/>
    <w:qFormat/>
    <w:locked/>
    <w:uiPriority w:val="99"/>
    <w:rPr>
      <w:rFonts w:ascii="Calibri Light" w:hAnsi="Calibri Light" w:eastAsia="宋体"/>
      <w:sz w:val="24"/>
    </w:rPr>
  </w:style>
  <w:style w:type="character" w:customStyle="1" w:styleId="42">
    <w:name w:val="Quote Char"/>
    <w:basedOn w:val="22"/>
    <w:link w:val="28"/>
    <w:qFormat/>
    <w:locked/>
    <w:uiPriority w:val="99"/>
    <w:rPr>
      <w:i/>
      <w:sz w:val="24"/>
    </w:rPr>
  </w:style>
  <w:style w:type="character" w:customStyle="1" w:styleId="43">
    <w:name w:val="Intense Quote Char"/>
    <w:basedOn w:val="22"/>
    <w:link w:val="29"/>
    <w:qFormat/>
    <w:locked/>
    <w:uiPriority w:val="99"/>
    <w:rPr>
      <w:b/>
      <w:i/>
      <w:sz w:val="24"/>
    </w:rPr>
  </w:style>
  <w:style w:type="character" w:customStyle="1" w:styleId="44">
    <w:name w:val="不明显强调1"/>
    <w:basedOn w:val="22"/>
    <w:qFormat/>
    <w:uiPriority w:val="99"/>
    <w:rPr>
      <w:i/>
      <w:color w:val="5A5A5A"/>
    </w:rPr>
  </w:style>
  <w:style w:type="character" w:customStyle="1" w:styleId="45">
    <w:name w:val="明显强调1"/>
    <w:basedOn w:val="22"/>
    <w:qFormat/>
    <w:uiPriority w:val="99"/>
    <w:rPr>
      <w:b/>
      <w:i/>
      <w:sz w:val="24"/>
      <w:u w:val="single"/>
    </w:rPr>
  </w:style>
  <w:style w:type="character" w:customStyle="1" w:styleId="46">
    <w:name w:val="不明显参考1"/>
    <w:basedOn w:val="22"/>
    <w:qFormat/>
    <w:uiPriority w:val="99"/>
    <w:rPr>
      <w:sz w:val="24"/>
      <w:u w:val="single"/>
    </w:rPr>
  </w:style>
  <w:style w:type="character" w:customStyle="1" w:styleId="47">
    <w:name w:val="明显参考1"/>
    <w:basedOn w:val="22"/>
    <w:qFormat/>
    <w:uiPriority w:val="99"/>
    <w:rPr>
      <w:b/>
      <w:sz w:val="24"/>
      <w:u w:val="single"/>
    </w:rPr>
  </w:style>
  <w:style w:type="character" w:customStyle="1" w:styleId="48">
    <w:name w:val="书籍标题1"/>
    <w:basedOn w:val="22"/>
    <w:qFormat/>
    <w:uiPriority w:val="99"/>
    <w:rPr>
      <w:rFonts w:ascii="Calibri Light" w:hAnsi="Calibri Light" w:eastAsia="宋体"/>
      <w:b/>
      <w:i/>
      <w:sz w:val="24"/>
    </w:rPr>
  </w:style>
  <w:style w:type="character" w:customStyle="1" w:styleId="49">
    <w:name w:val="apple-converted-space"/>
    <w:qFormat/>
    <w:uiPriority w:val="99"/>
  </w:style>
  <w:style w:type="character" w:customStyle="1" w:styleId="50">
    <w:name w:val="页眉 Char"/>
    <w:basedOn w:val="22"/>
    <w:link w:val="14"/>
    <w:qFormat/>
    <w:locked/>
    <w:uiPriority w:val="99"/>
    <w:rPr>
      <w:sz w:val="18"/>
    </w:rPr>
  </w:style>
  <w:style w:type="character" w:customStyle="1" w:styleId="51">
    <w:name w:val="页脚 Char"/>
    <w:basedOn w:val="22"/>
    <w:link w:val="13"/>
    <w:qFormat/>
    <w:locked/>
    <w:uiPriority w:val="99"/>
    <w:rPr>
      <w:sz w:val="18"/>
    </w:rPr>
  </w:style>
  <w:style w:type="paragraph" w:customStyle="1" w:styleId="52">
    <w:name w:val="_Style 1"/>
    <w:basedOn w:val="1"/>
    <w:qFormat/>
    <w:uiPriority w:val="34"/>
    <w:pPr>
      <w:ind w:firstLine="420" w:firstLineChars="200"/>
    </w:pPr>
  </w:style>
  <w:style w:type="paragraph" w:customStyle="1" w:styleId="53">
    <w:name w:val="文件正文"/>
    <w:basedOn w:val="1"/>
    <w:qFormat/>
    <w:uiPriority w:val="0"/>
    <w:pPr>
      <w:ind w:firstLine="636"/>
      <w:jc w:val="left"/>
    </w:pPr>
    <w:rPr>
      <w:rFonts w:ascii="Calibri" w:hAnsi="Calibri" w:eastAsia="仿宋" w:cs="Times New Roman"/>
      <w:sz w:val="32"/>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1361</Words>
  <Characters>7762</Characters>
  <Lines>64</Lines>
  <Paragraphs>18</Paragraphs>
  <TotalTime>0</TotalTime>
  <ScaleCrop>false</ScaleCrop>
  <LinksUpToDate>false</LinksUpToDate>
  <CharactersWithSpaces>9105</CharactersWithSpaces>
  <Application>WPS Office_11.1.0.10064_F1E327BC-269C-435d-A152-05C5408002CA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2016-11-02T03:35:00Z</dcterms:created>
  <dc:creator>hugebear</dc:creator>
  <cp:lastModifiedBy>Administrator</cp:lastModifiedBy>
  <cp:lastPrinted>2018-09-29T02:01:00Z</cp:lastPrinted>
  <dcterms:modified xsi:type="dcterms:W3CDTF">2020-09-23T09:10:29Z</dcterms:modified>
  <dc:title>A</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2052-11.1.0.10064</vt:lpwstr>
  </property>
</Properties>
</file>